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63" w:rsidRDefault="00120ED2">
      <w:pPr>
        <w:pStyle w:val="Bodytext30"/>
        <w:shd w:val="clear" w:color="auto" w:fill="auto"/>
        <w:spacing w:line="260" w:lineRule="exact"/>
        <w:jc w:val="left"/>
      </w:pPr>
      <w:bookmarkStart w:id="0" w:name="_GoBack"/>
      <w:r>
        <w:t>PRINCIPAL REGISTRY</w:t>
      </w:r>
    </w:p>
    <w:p w:rsidR="00241E63" w:rsidRDefault="00120ED2">
      <w:pPr>
        <w:pStyle w:val="Bodytext30"/>
        <w:shd w:val="clear" w:color="auto" w:fill="auto"/>
        <w:spacing w:line="1171" w:lineRule="exact"/>
        <w:jc w:val="left"/>
      </w:pPr>
      <w:r>
        <w:t>PERSONAL INJURY CAUSE NO. 1007 OF 2015 BETWEEN</w:t>
      </w:r>
    </w:p>
    <w:p w:rsidR="00241E63" w:rsidRDefault="00120ED2">
      <w:pPr>
        <w:pStyle w:val="Bodytext30"/>
        <w:shd w:val="clear" w:color="auto" w:fill="auto"/>
        <w:tabs>
          <w:tab w:val="left" w:leader="dot" w:pos="8011"/>
        </w:tabs>
        <w:spacing w:line="260" w:lineRule="exact"/>
        <w:jc w:val="left"/>
      </w:pPr>
      <w:r>
        <w:t>AARON FREDRICK</w:t>
      </w:r>
      <w:r>
        <w:tab/>
        <w:t>PLAINTIFF</w:t>
      </w:r>
    </w:p>
    <w:p w:rsidR="00241E63" w:rsidRDefault="00120ED2">
      <w:pPr>
        <w:pStyle w:val="Bodytext30"/>
        <w:shd w:val="clear" w:color="auto" w:fill="auto"/>
        <w:spacing w:line="595" w:lineRule="exact"/>
        <w:jc w:val="left"/>
      </w:pPr>
      <w:r>
        <w:t>AND</w:t>
      </w:r>
    </w:p>
    <w:p w:rsidR="00241E63" w:rsidRDefault="00120ED2">
      <w:pPr>
        <w:pStyle w:val="Bodytext30"/>
        <w:shd w:val="clear" w:color="auto" w:fill="auto"/>
        <w:tabs>
          <w:tab w:val="left" w:leader="dot" w:pos="7212"/>
        </w:tabs>
        <w:spacing w:line="595" w:lineRule="exact"/>
        <w:jc w:val="left"/>
      </w:pPr>
      <w:r>
        <w:rPr>
          <w:rStyle w:val="Bodytext3SmallCaps"/>
          <w:b/>
          <w:bCs/>
        </w:rPr>
        <w:t>CROWN AGRO-INDUSTRIES</w:t>
      </w:r>
      <w:r>
        <w:rPr>
          <w:rStyle w:val="Bodytext3SmallCaps"/>
          <w:b/>
          <w:bCs/>
        </w:rPr>
        <w:tab/>
        <w:t>1</w:t>
      </w:r>
      <w:r>
        <w:rPr>
          <w:rStyle w:val="Bodytext3SmallCaps"/>
          <w:b/>
          <w:bCs/>
          <w:vertAlign w:val="superscript"/>
        </w:rPr>
        <w:t>st</w:t>
      </w:r>
      <w:r>
        <w:rPr>
          <w:rStyle w:val="Bodytext3SmallCaps"/>
          <w:b/>
          <w:bCs/>
        </w:rPr>
        <w:t xml:space="preserve"> DEFENDANT</w:t>
      </w:r>
    </w:p>
    <w:p w:rsidR="00241E63" w:rsidRDefault="00120ED2">
      <w:pPr>
        <w:pStyle w:val="Bodytext30"/>
        <w:shd w:val="clear" w:color="auto" w:fill="auto"/>
        <w:tabs>
          <w:tab w:val="left" w:leader="dot" w:pos="7212"/>
        </w:tabs>
        <w:spacing w:line="595" w:lineRule="exact"/>
        <w:jc w:val="left"/>
      </w:pPr>
      <w:r>
        <w:rPr>
          <w:rStyle w:val="Bodytext3SmallCaps"/>
          <w:b/>
          <w:bCs/>
        </w:rPr>
        <w:t>POLYPACK LIMITED</w:t>
      </w:r>
      <w:r>
        <w:rPr>
          <w:rStyle w:val="Bodytext3SmallCaps"/>
          <w:b/>
          <w:bCs/>
        </w:rPr>
        <w:tab/>
        <w:t>2</w:t>
      </w:r>
      <w:r>
        <w:rPr>
          <w:rStyle w:val="Bodytext3SmallCaps"/>
          <w:b/>
          <w:bCs/>
          <w:vertAlign w:val="superscript"/>
        </w:rPr>
        <w:t>nd</w:t>
      </w:r>
      <w:r>
        <w:rPr>
          <w:rStyle w:val="Bodytext3SmallCaps"/>
          <w:b/>
          <w:bCs/>
        </w:rPr>
        <w:t xml:space="preserve"> DEFENDANT</w:t>
      </w:r>
    </w:p>
    <w:p w:rsidR="00241E63" w:rsidRDefault="00120ED2">
      <w:pPr>
        <w:pStyle w:val="Bodytext30"/>
        <w:shd w:val="clear" w:color="auto" w:fill="auto"/>
        <w:tabs>
          <w:tab w:val="left" w:pos="1435"/>
        </w:tabs>
        <w:spacing w:line="586" w:lineRule="exact"/>
        <w:jc w:val="left"/>
      </w:pPr>
      <w:proofErr w:type="gramStart"/>
      <w:r>
        <w:t>CORAM :</w:t>
      </w:r>
      <w:proofErr w:type="gramEnd"/>
      <w:r>
        <w:tab/>
        <w:t>HER HONOUR MRS. BODOLE, ASSISTANT REGISTRAR</w:t>
      </w:r>
    </w:p>
    <w:p w:rsidR="00DC2085" w:rsidRDefault="00120ED2">
      <w:pPr>
        <w:pStyle w:val="Bodytext20"/>
        <w:shd w:val="clear" w:color="auto" w:fill="auto"/>
        <w:ind w:firstLine="0"/>
      </w:pPr>
      <w:proofErr w:type="spellStart"/>
      <w:r>
        <w:t>Samuti</w:t>
      </w:r>
      <w:proofErr w:type="spellEnd"/>
      <w:r>
        <w:t xml:space="preserve">, of Counsel for the Plaintiff </w:t>
      </w:r>
    </w:p>
    <w:p w:rsidR="00DC2085" w:rsidRDefault="00120ED2">
      <w:pPr>
        <w:pStyle w:val="Bodytext20"/>
        <w:shd w:val="clear" w:color="auto" w:fill="auto"/>
        <w:ind w:firstLine="0"/>
      </w:pPr>
      <w:proofErr w:type="spellStart"/>
      <w:r>
        <w:t>Kaduya</w:t>
      </w:r>
      <w:proofErr w:type="spellEnd"/>
      <w:r>
        <w:t xml:space="preserve">, of Counsel for the Defendant </w:t>
      </w:r>
    </w:p>
    <w:p w:rsidR="00241E63" w:rsidRDefault="00120ED2">
      <w:pPr>
        <w:pStyle w:val="Bodytext20"/>
        <w:shd w:val="clear" w:color="auto" w:fill="auto"/>
        <w:ind w:firstLine="0"/>
      </w:pPr>
      <w:proofErr w:type="spellStart"/>
      <w:r>
        <w:t>Mrs</w:t>
      </w:r>
      <w:proofErr w:type="spellEnd"/>
      <w:r>
        <w:t xml:space="preserve"> Ngoma, Court Clerk</w:t>
      </w:r>
    </w:p>
    <w:p w:rsidR="00DC2085" w:rsidRDefault="00DC2085">
      <w:pPr>
        <w:pStyle w:val="Bodytext30"/>
        <w:shd w:val="clear" w:color="auto" w:fill="auto"/>
        <w:spacing w:line="260" w:lineRule="exact"/>
        <w:jc w:val="left"/>
        <w:rPr>
          <w:rStyle w:val="Bodytext31"/>
          <w:b/>
          <w:bCs/>
        </w:rPr>
      </w:pPr>
    </w:p>
    <w:p w:rsidR="00DC2085" w:rsidRDefault="00DC2085">
      <w:pPr>
        <w:pStyle w:val="Bodytext30"/>
        <w:shd w:val="clear" w:color="auto" w:fill="auto"/>
        <w:spacing w:line="260" w:lineRule="exact"/>
        <w:jc w:val="left"/>
        <w:rPr>
          <w:rStyle w:val="Bodytext31"/>
          <w:b/>
          <w:bCs/>
        </w:rPr>
      </w:pPr>
    </w:p>
    <w:p w:rsidR="00241E63" w:rsidRDefault="00120ED2">
      <w:pPr>
        <w:pStyle w:val="Bodytext30"/>
        <w:shd w:val="clear" w:color="auto" w:fill="auto"/>
        <w:spacing w:line="260" w:lineRule="exact"/>
        <w:jc w:val="left"/>
      </w:pPr>
      <w:r>
        <w:rPr>
          <w:rStyle w:val="Bodytext31"/>
          <w:b/>
          <w:bCs/>
        </w:rPr>
        <w:t>RULING</w:t>
      </w:r>
    </w:p>
    <w:p w:rsidR="00241E63" w:rsidRDefault="00120ED2">
      <w:pPr>
        <w:pStyle w:val="Bodytext20"/>
        <w:shd w:val="clear" w:color="auto" w:fill="auto"/>
        <w:spacing w:line="394" w:lineRule="exact"/>
        <w:ind w:firstLine="0"/>
      </w:pPr>
      <w:r>
        <w:t xml:space="preserve">This is an application by the plaintiff to strike out amended </w:t>
      </w:r>
      <w:proofErr w:type="spellStart"/>
      <w:r>
        <w:t>defence</w:t>
      </w:r>
      <w:proofErr w:type="spellEnd"/>
      <w:r>
        <w:t xml:space="preserve"> and for leave to enter judgment. Counsel from both sides filed affidavits and also made oral submissions.</w:t>
      </w:r>
    </w:p>
    <w:p w:rsidR="00DC2085" w:rsidRDefault="00DC2085">
      <w:pPr>
        <w:pStyle w:val="Bodytext20"/>
        <w:shd w:val="clear" w:color="auto" w:fill="auto"/>
        <w:spacing w:line="260" w:lineRule="exact"/>
        <w:ind w:firstLine="0"/>
      </w:pPr>
    </w:p>
    <w:p w:rsidR="00241E63" w:rsidRPr="00DC2085" w:rsidRDefault="00120ED2">
      <w:pPr>
        <w:pStyle w:val="Bodytext20"/>
        <w:shd w:val="clear" w:color="auto" w:fill="auto"/>
        <w:spacing w:line="260" w:lineRule="exact"/>
        <w:ind w:firstLine="0"/>
        <w:rPr>
          <w:b/>
          <w:u w:val="single"/>
        </w:rPr>
      </w:pPr>
      <w:r w:rsidRPr="00DC2085">
        <w:rPr>
          <w:b/>
          <w:u w:val="single"/>
        </w:rPr>
        <w:t>The Evidence</w:t>
      </w:r>
    </w:p>
    <w:p w:rsidR="00241E63" w:rsidRDefault="00120ED2">
      <w:pPr>
        <w:pStyle w:val="Bodytext20"/>
        <w:shd w:val="clear" w:color="auto" w:fill="auto"/>
        <w:spacing w:line="389" w:lineRule="exact"/>
        <w:ind w:firstLine="0"/>
      </w:pPr>
      <w:r>
        <w:t>By writ of summons dated 2</w:t>
      </w:r>
      <w:r>
        <w:rPr>
          <w:vertAlign w:val="superscript"/>
        </w:rPr>
        <w:t>nd</w:t>
      </w:r>
      <w:r>
        <w:t xml:space="preserve"> December, 2015, the plaintiff brought an action against the defendants claiming damages for pain and suffering, loss of amenities of life and special damages in that the defendants were negligent and breached the duty imposed on them by statute. The defen</w:t>
      </w:r>
      <w:r>
        <w:t xml:space="preserve">dants filed amended </w:t>
      </w:r>
      <w:proofErr w:type="spellStart"/>
      <w:r>
        <w:t>defence</w:t>
      </w:r>
      <w:proofErr w:type="spellEnd"/>
      <w:r>
        <w:t xml:space="preserve"> on 13</w:t>
      </w:r>
      <w:r>
        <w:rPr>
          <w:vertAlign w:val="superscript"/>
        </w:rPr>
        <w:t xml:space="preserve">th </w:t>
      </w:r>
      <w:r>
        <w:t xml:space="preserve">December, 2016. The plaintiff has brought this application claiming that the amended </w:t>
      </w:r>
      <w:proofErr w:type="spellStart"/>
      <w:r>
        <w:t>defence</w:t>
      </w:r>
      <w:proofErr w:type="spellEnd"/>
      <w:r>
        <w:t xml:space="preserve"> does not disclose reasonable cause of action and must be strike out.</w:t>
      </w:r>
    </w:p>
    <w:p w:rsidR="00DC2085" w:rsidRDefault="00DC2085">
      <w:pPr>
        <w:pStyle w:val="Bodytext20"/>
        <w:shd w:val="clear" w:color="auto" w:fill="auto"/>
        <w:spacing w:line="389" w:lineRule="exact"/>
        <w:ind w:firstLine="0"/>
      </w:pPr>
    </w:p>
    <w:p w:rsidR="00241E63" w:rsidRDefault="00120ED2">
      <w:pPr>
        <w:pStyle w:val="Bodytext20"/>
        <w:shd w:val="clear" w:color="auto" w:fill="auto"/>
        <w:spacing w:line="384" w:lineRule="exact"/>
        <w:ind w:firstLine="0"/>
      </w:pPr>
      <w:r>
        <w:t>Counsel for the plaintiff contended that under Order 18 ru</w:t>
      </w:r>
      <w:r>
        <w:t xml:space="preserve">le 19 (1) (a) of the Rules of the Supreme Court, courts can strike out a </w:t>
      </w:r>
      <w:proofErr w:type="spellStart"/>
      <w:r>
        <w:t>defence</w:t>
      </w:r>
      <w:proofErr w:type="spellEnd"/>
      <w:r>
        <w:t xml:space="preserve"> if it does not disclose a reasonable </w:t>
      </w:r>
      <w:proofErr w:type="spellStart"/>
      <w:r>
        <w:t>defence</w:t>
      </w:r>
      <w:proofErr w:type="spellEnd"/>
      <w:r>
        <w:t xml:space="preserve">. He further contended that the amended </w:t>
      </w:r>
      <w:proofErr w:type="spellStart"/>
      <w:r>
        <w:t>defence</w:t>
      </w:r>
      <w:proofErr w:type="spellEnd"/>
      <w:r>
        <w:t xml:space="preserve"> only makes general denials and does not discuss the ground upon which such denials </w:t>
      </w:r>
      <w:r>
        <w:t xml:space="preserve">have been made, so the </w:t>
      </w:r>
      <w:proofErr w:type="spellStart"/>
      <w:r>
        <w:t>defence</w:t>
      </w:r>
      <w:proofErr w:type="spellEnd"/>
      <w:r>
        <w:t xml:space="preserve"> cannot be said to raise a reasonable </w:t>
      </w:r>
      <w:proofErr w:type="spellStart"/>
      <w:r>
        <w:t>defence</w:t>
      </w:r>
      <w:proofErr w:type="spellEnd"/>
      <w:r>
        <w:t xml:space="preserve">. The plaintiff relied on the case of </w:t>
      </w:r>
      <w:proofErr w:type="spellStart"/>
      <w:r>
        <w:rPr>
          <w:rStyle w:val="Bodytext2Bold"/>
        </w:rPr>
        <w:t>Yohane</w:t>
      </w:r>
      <w:proofErr w:type="spellEnd"/>
      <w:r>
        <w:rPr>
          <w:rStyle w:val="Bodytext2Bold"/>
        </w:rPr>
        <w:t xml:space="preserve"> Samuel v Prime Insurance Company Limited</w:t>
      </w:r>
      <w:r>
        <w:rPr>
          <w:rStyle w:val="Bodytext2Bold0"/>
        </w:rPr>
        <w:t xml:space="preserve"> </w:t>
      </w:r>
      <w:r>
        <w:t xml:space="preserve">Personal Injury Cause No. 955 of 2016 (unreported) where the court struck out the defendant's </w:t>
      </w:r>
      <w:proofErr w:type="spellStart"/>
      <w:r>
        <w:t>defence</w:t>
      </w:r>
      <w:proofErr w:type="spellEnd"/>
      <w:r>
        <w:t xml:space="preserve"> because the </w:t>
      </w:r>
      <w:proofErr w:type="spellStart"/>
      <w:r>
        <w:t>defence</w:t>
      </w:r>
      <w:proofErr w:type="spellEnd"/>
      <w:r>
        <w:t xml:space="preserve"> was a general one and one could not see a triable issue in the matter.</w:t>
      </w:r>
    </w:p>
    <w:p w:rsidR="00241E63" w:rsidRDefault="00120ED2">
      <w:pPr>
        <w:pStyle w:val="Bodytext20"/>
        <w:shd w:val="clear" w:color="auto" w:fill="auto"/>
        <w:spacing w:line="389" w:lineRule="exact"/>
        <w:ind w:firstLine="0"/>
      </w:pPr>
      <w:r>
        <w:lastRenderedPageBreak/>
        <w:t>Counsel for the defendants contended that the question before the court is whether or not the defendants were negligent. The defendant denied liability. By d</w:t>
      </w:r>
      <w:r>
        <w:t>enying the particulars of negligence that have been pleaded, the burden of proof has been shifted to the plaintiff and it is only and until the evidential burden has been satisfied that a judgment should be entered for the plaintiff. He further contended t</w:t>
      </w:r>
      <w:r>
        <w:t xml:space="preserve">hat the plaintiffs claim that the </w:t>
      </w:r>
      <w:proofErr w:type="spellStart"/>
      <w:r>
        <w:t>defence</w:t>
      </w:r>
      <w:proofErr w:type="spellEnd"/>
      <w:r>
        <w:t xml:space="preserve"> does not contain particulars would have been rectified if the plaintiff asked for better and further particulars.</w:t>
      </w:r>
    </w:p>
    <w:p w:rsidR="00DC2085" w:rsidRDefault="00DC2085">
      <w:pPr>
        <w:pStyle w:val="Bodytext20"/>
        <w:shd w:val="clear" w:color="auto" w:fill="auto"/>
        <w:spacing w:line="389" w:lineRule="exact"/>
        <w:ind w:firstLine="0"/>
      </w:pPr>
    </w:p>
    <w:p w:rsidR="00241E63" w:rsidRDefault="00120ED2">
      <w:pPr>
        <w:pStyle w:val="Bodytext20"/>
        <w:shd w:val="clear" w:color="auto" w:fill="auto"/>
        <w:spacing w:line="260" w:lineRule="exact"/>
        <w:ind w:firstLine="0"/>
      </w:pPr>
      <w:r>
        <w:t xml:space="preserve">It would be prudent if I produce the amended </w:t>
      </w:r>
      <w:proofErr w:type="spellStart"/>
      <w:r>
        <w:t>defence</w:t>
      </w:r>
      <w:proofErr w:type="spellEnd"/>
      <w:r>
        <w:t xml:space="preserve"> as it is.</w:t>
      </w:r>
    </w:p>
    <w:p w:rsidR="00DC2085" w:rsidRDefault="00DC2085">
      <w:pPr>
        <w:pStyle w:val="Bodytext30"/>
        <w:shd w:val="clear" w:color="auto" w:fill="auto"/>
        <w:spacing w:line="260" w:lineRule="exact"/>
        <w:jc w:val="left"/>
      </w:pPr>
    </w:p>
    <w:p w:rsidR="00241E63" w:rsidRDefault="00120ED2">
      <w:pPr>
        <w:pStyle w:val="Bodytext30"/>
        <w:shd w:val="clear" w:color="auto" w:fill="auto"/>
        <w:spacing w:line="260" w:lineRule="exact"/>
        <w:jc w:val="left"/>
      </w:pPr>
      <w:r>
        <w:t>“AMENDED DEFENCE</w:t>
      </w:r>
    </w:p>
    <w:p w:rsidR="00241E63" w:rsidRDefault="00120ED2">
      <w:pPr>
        <w:pStyle w:val="Bodytext20"/>
        <w:numPr>
          <w:ilvl w:val="0"/>
          <w:numId w:val="1"/>
        </w:numPr>
        <w:shd w:val="clear" w:color="auto" w:fill="auto"/>
        <w:tabs>
          <w:tab w:val="left" w:pos="758"/>
        </w:tabs>
        <w:spacing w:line="394" w:lineRule="exact"/>
        <w:ind w:left="360" w:hanging="360"/>
      </w:pPr>
      <w:r>
        <w:t xml:space="preserve">The defendants make </w:t>
      </w:r>
      <w:r>
        <w:t>no admission on paragraph 1 of the statement of claim.</w:t>
      </w:r>
    </w:p>
    <w:p w:rsidR="00241E63" w:rsidRDefault="00120ED2">
      <w:pPr>
        <w:pStyle w:val="Bodytext20"/>
        <w:numPr>
          <w:ilvl w:val="0"/>
          <w:numId w:val="1"/>
        </w:numPr>
        <w:shd w:val="clear" w:color="auto" w:fill="auto"/>
        <w:tabs>
          <w:tab w:val="left" w:pos="758"/>
        </w:tabs>
        <w:spacing w:line="394" w:lineRule="exact"/>
        <w:ind w:left="360" w:hanging="360"/>
      </w:pPr>
      <w:r>
        <w:t xml:space="preserve">The defendant </w:t>
      </w:r>
      <w:proofErr w:type="gramStart"/>
      <w:r>
        <w:t>refer</w:t>
      </w:r>
      <w:proofErr w:type="gramEnd"/>
      <w:r>
        <w:t xml:space="preserve"> to paragraph 2 of the statement of claim and put the plaintiff to strict proof thereof.</w:t>
      </w:r>
    </w:p>
    <w:p w:rsidR="00241E63" w:rsidRDefault="00120ED2">
      <w:pPr>
        <w:pStyle w:val="Bodytext20"/>
        <w:numPr>
          <w:ilvl w:val="0"/>
          <w:numId w:val="1"/>
        </w:numPr>
        <w:shd w:val="clear" w:color="auto" w:fill="auto"/>
        <w:tabs>
          <w:tab w:val="left" w:pos="718"/>
        </w:tabs>
        <w:spacing w:line="389" w:lineRule="exact"/>
        <w:ind w:left="360" w:hanging="360"/>
      </w:pPr>
      <w:r>
        <w:t>The defendants deny the contents of paragraph 3 of the statement of claim and put the plainti</w:t>
      </w:r>
      <w:r>
        <w:t>ff to strict proof thereof.</w:t>
      </w:r>
    </w:p>
    <w:p w:rsidR="00241E63" w:rsidRDefault="00120ED2">
      <w:pPr>
        <w:pStyle w:val="Bodytext20"/>
        <w:numPr>
          <w:ilvl w:val="0"/>
          <w:numId w:val="1"/>
        </w:numPr>
        <w:shd w:val="clear" w:color="auto" w:fill="auto"/>
        <w:tabs>
          <w:tab w:val="left" w:pos="727"/>
        </w:tabs>
        <w:spacing w:line="389" w:lineRule="exact"/>
        <w:ind w:left="360" w:hanging="360"/>
      </w:pPr>
      <w:r>
        <w:t>The defendants deny the contents of paragraph 4 of the statement of claim together with its particulars and put the plaintiff to strict proof thereof.</w:t>
      </w:r>
    </w:p>
    <w:p w:rsidR="00241E63" w:rsidRDefault="00120ED2">
      <w:pPr>
        <w:pStyle w:val="Bodytext20"/>
        <w:numPr>
          <w:ilvl w:val="0"/>
          <w:numId w:val="1"/>
        </w:numPr>
        <w:shd w:val="clear" w:color="auto" w:fill="auto"/>
        <w:tabs>
          <w:tab w:val="left" w:pos="727"/>
        </w:tabs>
        <w:spacing w:line="389" w:lineRule="exact"/>
        <w:ind w:left="360" w:hanging="360"/>
      </w:pPr>
      <w:r>
        <w:t>The defendants deny the alleged injuries in paragraph 5 of the statement of c</w:t>
      </w:r>
      <w:r>
        <w:t>laim together with its particulars and put the plaintiff to strict proof thereof.</w:t>
      </w:r>
    </w:p>
    <w:p w:rsidR="00241E63" w:rsidRDefault="00120ED2">
      <w:pPr>
        <w:pStyle w:val="Bodytext20"/>
        <w:numPr>
          <w:ilvl w:val="0"/>
          <w:numId w:val="1"/>
        </w:numPr>
        <w:shd w:val="clear" w:color="auto" w:fill="auto"/>
        <w:tabs>
          <w:tab w:val="left" w:pos="727"/>
        </w:tabs>
        <w:spacing w:line="389" w:lineRule="exact"/>
        <w:ind w:left="360" w:hanging="360"/>
      </w:pPr>
      <w:r>
        <w:t>The defendants deny the alleged special damages in paragraph 6 of the statement of claim and put the plaintiff to strict proof thereof.</w:t>
      </w:r>
    </w:p>
    <w:p w:rsidR="00241E63" w:rsidRDefault="00120ED2">
      <w:pPr>
        <w:pStyle w:val="Bodytext20"/>
        <w:numPr>
          <w:ilvl w:val="0"/>
          <w:numId w:val="1"/>
        </w:numPr>
        <w:shd w:val="clear" w:color="auto" w:fill="auto"/>
        <w:tabs>
          <w:tab w:val="left" w:pos="727"/>
        </w:tabs>
        <w:spacing w:line="389" w:lineRule="exact"/>
        <w:ind w:left="360" w:hanging="360"/>
      </w:pPr>
      <w:r>
        <w:t>Save as herein before expressly admitt</w:t>
      </w:r>
      <w:r>
        <w:t>ed the defendant denies each and every allegation of fact as if the same was herein set forth and traversed seriatim."</w:t>
      </w:r>
    </w:p>
    <w:p w:rsidR="00DC2085" w:rsidRDefault="00DC2085">
      <w:pPr>
        <w:pStyle w:val="Bodytext20"/>
        <w:shd w:val="clear" w:color="auto" w:fill="auto"/>
        <w:spacing w:line="260" w:lineRule="exact"/>
        <w:ind w:left="360" w:hanging="360"/>
        <w:rPr>
          <w:rStyle w:val="Bodytext21"/>
        </w:rPr>
      </w:pPr>
    </w:p>
    <w:p w:rsidR="00241E63" w:rsidRDefault="00120ED2">
      <w:pPr>
        <w:pStyle w:val="Bodytext20"/>
        <w:shd w:val="clear" w:color="auto" w:fill="auto"/>
        <w:spacing w:line="260" w:lineRule="exact"/>
        <w:ind w:left="360" w:hanging="360"/>
      </w:pPr>
      <w:r>
        <w:rPr>
          <w:rStyle w:val="Bodytext21"/>
        </w:rPr>
        <w:t>Applicable Law and Analysis</w:t>
      </w:r>
    </w:p>
    <w:p w:rsidR="00241E63" w:rsidRDefault="00120ED2">
      <w:pPr>
        <w:pStyle w:val="Bodytext20"/>
        <w:shd w:val="clear" w:color="auto" w:fill="auto"/>
        <w:spacing w:line="260" w:lineRule="exact"/>
        <w:ind w:left="360" w:hanging="360"/>
      </w:pPr>
      <w:r>
        <w:t>Order 18 rule 19(1) of the Rules of the Supreme Court provides that</w:t>
      </w:r>
    </w:p>
    <w:p w:rsidR="00241E63" w:rsidRDefault="00120ED2">
      <w:pPr>
        <w:pStyle w:val="Bodytext20"/>
        <w:shd w:val="clear" w:color="auto" w:fill="auto"/>
        <w:spacing w:line="389" w:lineRule="exact"/>
        <w:ind w:firstLine="0"/>
      </w:pPr>
      <w:r>
        <w:t>"The court may, at any stage of the proce</w:t>
      </w:r>
      <w:r>
        <w:t>edings order to be struck out or amended any pleading or the indorsement of any writ in the action, or anything in any pleading or in the endorsement on the ground that-</w:t>
      </w:r>
    </w:p>
    <w:p w:rsidR="00241E63" w:rsidRDefault="00120ED2">
      <w:pPr>
        <w:pStyle w:val="Bodytext20"/>
        <w:numPr>
          <w:ilvl w:val="0"/>
          <w:numId w:val="2"/>
        </w:numPr>
        <w:shd w:val="clear" w:color="auto" w:fill="auto"/>
        <w:tabs>
          <w:tab w:val="left" w:pos="1184"/>
        </w:tabs>
        <w:spacing w:line="394" w:lineRule="exact"/>
        <w:ind w:left="360" w:hanging="360"/>
      </w:pPr>
      <w:r>
        <w:t xml:space="preserve">it discloses no reasonable cause of action or </w:t>
      </w:r>
      <w:proofErr w:type="spellStart"/>
      <w:r>
        <w:t>defence</w:t>
      </w:r>
      <w:proofErr w:type="spellEnd"/>
      <w:r>
        <w:t>, as the case may be; or</w:t>
      </w:r>
    </w:p>
    <w:p w:rsidR="00241E63" w:rsidRDefault="00120ED2">
      <w:pPr>
        <w:pStyle w:val="Bodytext20"/>
        <w:numPr>
          <w:ilvl w:val="0"/>
          <w:numId w:val="2"/>
        </w:numPr>
        <w:shd w:val="clear" w:color="auto" w:fill="auto"/>
        <w:tabs>
          <w:tab w:val="left" w:pos="1194"/>
        </w:tabs>
        <w:spacing w:line="394" w:lineRule="exact"/>
        <w:ind w:firstLine="0"/>
      </w:pPr>
      <w:r>
        <w:t xml:space="preserve">it is </w:t>
      </w:r>
      <w:r>
        <w:t>scandalous, frivolous or vexatious; or</w:t>
      </w:r>
    </w:p>
    <w:p w:rsidR="00241E63" w:rsidRDefault="00120ED2">
      <w:pPr>
        <w:pStyle w:val="Bodytext20"/>
        <w:numPr>
          <w:ilvl w:val="0"/>
          <w:numId w:val="2"/>
        </w:numPr>
        <w:shd w:val="clear" w:color="auto" w:fill="auto"/>
        <w:tabs>
          <w:tab w:val="left" w:pos="1194"/>
        </w:tabs>
        <w:spacing w:line="394" w:lineRule="exact"/>
        <w:ind w:firstLine="0"/>
      </w:pPr>
      <w:r>
        <w:t>it may prejudice, embarrass or delay the fair trial of the action; or</w:t>
      </w:r>
    </w:p>
    <w:p w:rsidR="00241E63" w:rsidRDefault="00120ED2">
      <w:pPr>
        <w:pStyle w:val="Bodytext20"/>
        <w:numPr>
          <w:ilvl w:val="0"/>
          <w:numId w:val="2"/>
        </w:numPr>
        <w:shd w:val="clear" w:color="auto" w:fill="auto"/>
        <w:tabs>
          <w:tab w:val="left" w:pos="1194"/>
        </w:tabs>
        <w:spacing w:line="394" w:lineRule="exact"/>
        <w:ind w:firstLine="0"/>
      </w:pPr>
      <w:r>
        <w:t>it is otherwise an abuse of the Court process."</w:t>
      </w:r>
    </w:p>
    <w:p w:rsidR="00241E63" w:rsidRDefault="00120ED2">
      <w:pPr>
        <w:pStyle w:val="Bodytext20"/>
        <w:shd w:val="clear" w:color="auto" w:fill="auto"/>
        <w:spacing w:line="260" w:lineRule="exact"/>
        <w:ind w:firstLine="0"/>
      </w:pPr>
      <w:r>
        <w:t>Practice Note 18/19/10 with reference of rule 19 (1) (a) provides that</w:t>
      </w:r>
    </w:p>
    <w:p w:rsidR="00241E63" w:rsidRDefault="00120ED2">
      <w:pPr>
        <w:pStyle w:val="Bodytext20"/>
        <w:shd w:val="clear" w:color="auto" w:fill="auto"/>
        <w:spacing w:line="389" w:lineRule="exact"/>
        <w:ind w:firstLine="0"/>
      </w:pPr>
      <w:r>
        <w:t>"A reasonable cause of actio</w:t>
      </w:r>
      <w:r>
        <w:t xml:space="preserve">n means a cause of action with some chance of success when only the allegations in the pleadings are considered (per Lord Pearson in </w:t>
      </w:r>
      <w:r>
        <w:rPr>
          <w:rStyle w:val="Bodytext2Bold"/>
        </w:rPr>
        <w:t>Drummond-Jackson v British Medical Association</w:t>
      </w:r>
      <w:r>
        <w:rPr>
          <w:rStyle w:val="Bodytext2Bold0"/>
        </w:rPr>
        <w:t xml:space="preserve"> [1979] 1 </w:t>
      </w:r>
      <w:r>
        <w:t>WLR</w:t>
      </w:r>
    </w:p>
    <w:p w:rsidR="00241E63" w:rsidRDefault="00120ED2">
      <w:pPr>
        <w:pStyle w:val="Bodytext20"/>
        <w:shd w:val="clear" w:color="auto" w:fill="auto"/>
        <w:spacing w:line="389" w:lineRule="exact"/>
        <w:ind w:firstLine="0"/>
      </w:pPr>
      <w:r>
        <w:lastRenderedPageBreak/>
        <w:t>688; [1970] 1 ALL ER 1094, CA). So long as the statement of cla</w:t>
      </w:r>
      <w:r>
        <w:t xml:space="preserve">im or particulars </w:t>
      </w:r>
      <w:r>
        <w:rPr>
          <w:rStyle w:val="Bodytext2Bold0"/>
        </w:rPr>
        <w:t>(</w:t>
      </w:r>
      <w:r>
        <w:rPr>
          <w:rStyle w:val="Bodytext2Bold"/>
        </w:rPr>
        <w:t>Davey v Bentinck</w:t>
      </w:r>
      <w:r>
        <w:rPr>
          <w:rStyle w:val="Bodytext2Bold0"/>
        </w:rPr>
        <w:t xml:space="preserve"> </w:t>
      </w:r>
      <w:r>
        <w:t xml:space="preserve">[1893] 1 QB 185 disclose some cause of action, or raise some question fit to be decided by a judge or a jury, the mere fact that the case is weak, and not likely to succeed, is no ground for striking it out </w:t>
      </w:r>
      <w:r>
        <w:rPr>
          <w:rStyle w:val="Bodytext2Bold0"/>
        </w:rPr>
        <w:t>(</w:t>
      </w:r>
      <w:r>
        <w:rPr>
          <w:rStyle w:val="Bodytext2Bold"/>
        </w:rPr>
        <w:t>Moore v Laws</w:t>
      </w:r>
      <w:r>
        <w:rPr>
          <w:rStyle w:val="Bodytext2Bold"/>
        </w:rPr>
        <w:t>on</w:t>
      </w:r>
      <w:r>
        <w:rPr>
          <w:rStyle w:val="Bodytext2Bold0"/>
        </w:rPr>
        <w:t xml:space="preserve"> </w:t>
      </w:r>
      <w:r>
        <w:t xml:space="preserve">(1915 31 TRL 418, CA; </w:t>
      </w:r>
      <w:r>
        <w:rPr>
          <w:rStyle w:val="Bodytext2Bold"/>
        </w:rPr>
        <w:t xml:space="preserve">Wenlock v </w:t>
      </w:r>
      <w:proofErr w:type="spellStart"/>
      <w:r>
        <w:rPr>
          <w:rStyle w:val="Bodytext2Bold"/>
        </w:rPr>
        <w:t>Moloney</w:t>
      </w:r>
      <w:proofErr w:type="spellEnd"/>
      <w:r>
        <w:rPr>
          <w:rStyle w:val="Bodytext2Bold0"/>
        </w:rPr>
        <w:t xml:space="preserve"> </w:t>
      </w:r>
      <w:r>
        <w:t>[1965 1 WLR 1238; [1965] 2 ALL ER 871, CA);"</w:t>
      </w:r>
    </w:p>
    <w:p w:rsidR="00DC2085" w:rsidRDefault="00DC2085">
      <w:pPr>
        <w:pStyle w:val="Bodytext30"/>
        <w:shd w:val="clear" w:color="auto" w:fill="auto"/>
        <w:spacing w:line="394" w:lineRule="exact"/>
        <w:jc w:val="left"/>
        <w:rPr>
          <w:rStyle w:val="Bodytext3NotBold"/>
        </w:rPr>
      </w:pPr>
    </w:p>
    <w:p w:rsidR="00241E63" w:rsidRDefault="00120ED2">
      <w:pPr>
        <w:pStyle w:val="Bodytext30"/>
        <w:shd w:val="clear" w:color="auto" w:fill="auto"/>
        <w:spacing w:line="394" w:lineRule="exact"/>
        <w:jc w:val="left"/>
      </w:pPr>
      <w:r>
        <w:rPr>
          <w:rStyle w:val="Bodytext3NotBold"/>
        </w:rPr>
        <w:t xml:space="preserve">In </w:t>
      </w:r>
      <w:proofErr w:type="spellStart"/>
      <w:r>
        <w:rPr>
          <w:rStyle w:val="Bodytext31"/>
          <w:b/>
          <w:bCs/>
        </w:rPr>
        <w:t>Chibwana</w:t>
      </w:r>
      <w:proofErr w:type="spellEnd"/>
      <w:r>
        <w:rPr>
          <w:rStyle w:val="Bodytext31"/>
          <w:b/>
          <w:bCs/>
        </w:rPr>
        <w:t xml:space="preserve"> t/a </w:t>
      </w:r>
      <w:proofErr w:type="spellStart"/>
      <w:r>
        <w:rPr>
          <w:rStyle w:val="Bodytext31"/>
          <w:b/>
          <w:bCs/>
        </w:rPr>
        <w:t>Tidalitseni</w:t>
      </w:r>
      <w:proofErr w:type="spellEnd"/>
      <w:r>
        <w:rPr>
          <w:rStyle w:val="Bodytext31"/>
          <w:b/>
          <w:bCs/>
        </w:rPr>
        <w:t xml:space="preserve"> Transport v Union Transport</w:t>
      </w:r>
      <w:r>
        <w:t xml:space="preserve"> </w:t>
      </w:r>
      <w:r>
        <w:rPr>
          <w:rStyle w:val="Bodytext3NotBold"/>
        </w:rPr>
        <w:t>[2005] MWHC 94 the court held that</w:t>
      </w:r>
    </w:p>
    <w:p w:rsidR="00DC2085" w:rsidRDefault="00DC2085">
      <w:pPr>
        <w:pStyle w:val="Bodytext20"/>
        <w:shd w:val="clear" w:color="auto" w:fill="auto"/>
        <w:spacing w:line="389" w:lineRule="exact"/>
        <w:ind w:firstLine="0"/>
      </w:pPr>
    </w:p>
    <w:p w:rsidR="00241E63" w:rsidRDefault="00120ED2">
      <w:pPr>
        <w:pStyle w:val="Bodytext20"/>
        <w:shd w:val="clear" w:color="auto" w:fill="auto"/>
        <w:spacing w:line="389" w:lineRule="exact"/>
        <w:ind w:firstLine="0"/>
      </w:pPr>
      <w:r>
        <w:t>"Lord Pearson in Drummond-Jackson v British Medical Association [1970 1 ALL E</w:t>
      </w:r>
      <w:r>
        <w:t xml:space="preserve">R 1094 C.A. defined a reasonable cause of action as one with some change of success when only the allegations in the pleadings are considered. Similarly, a reasonable </w:t>
      </w:r>
      <w:proofErr w:type="spellStart"/>
      <w:r>
        <w:t>defence</w:t>
      </w:r>
      <w:proofErr w:type="spellEnd"/>
      <w:r>
        <w:t xml:space="preserve"> is one with some chance of success when only the allegations in the pleadings are</w:t>
      </w:r>
      <w:r>
        <w:t xml:space="preserve"> considered. It is enough if the pleading raises some question fit to be decided by a Judge or jury."</w:t>
      </w:r>
    </w:p>
    <w:p w:rsidR="00241E63" w:rsidRDefault="00120ED2">
      <w:pPr>
        <w:pStyle w:val="Bodytext20"/>
        <w:shd w:val="clear" w:color="auto" w:fill="auto"/>
        <w:spacing w:line="389" w:lineRule="exact"/>
        <w:ind w:firstLine="0"/>
      </w:pPr>
      <w:r>
        <w:t>The question in the allegations in the pleadings is whether or not the defendant was negligent. The defendant denies that he was negligent. With such deni</w:t>
      </w:r>
      <w:r>
        <w:t xml:space="preserve">al the plaintiff has the burden of proving that the defendant was negligent. The plaintiff relied on the case of </w:t>
      </w:r>
      <w:proofErr w:type="spellStart"/>
      <w:r>
        <w:rPr>
          <w:rStyle w:val="Bodytext2Bold"/>
        </w:rPr>
        <w:t>Yohane</w:t>
      </w:r>
      <w:proofErr w:type="spellEnd"/>
      <w:r>
        <w:rPr>
          <w:rStyle w:val="Bodytext2Bold"/>
        </w:rPr>
        <w:t xml:space="preserve"> Samuel v Prime Insurance Company Limited</w:t>
      </w:r>
      <w:r>
        <w:rPr>
          <w:rStyle w:val="Bodytext2Bold0"/>
        </w:rPr>
        <w:t xml:space="preserve"> </w:t>
      </w:r>
      <w:r>
        <w:t xml:space="preserve">(supra). In that case the defendant denied everything in their </w:t>
      </w:r>
      <w:proofErr w:type="spellStart"/>
      <w:r>
        <w:t>defence</w:t>
      </w:r>
      <w:proofErr w:type="spellEnd"/>
      <w:r>
        <w:t xml:space="preserve"> including the fact that </w:t>
      </w:r>
      <w:r>
        <w:t xml:space="preserve">they were the insurers of the motor vehicle in question. The defendant went on to state that if they are the insurers of the motor vehicle, their liability was limited to the limit under the policy. The </w:t>
      </w:r>
      <w:proofErr w:type="gramStart"/>
      <w:r>
        <w:t>plaintiffs</w:t>
      </w:r>
      <w:proofErr w:type="gramEnd"/>
      <w:r>
        <w:t xml:space="preserve"> pleadings, however, contained a certificat</w:t>
      </w:r>
      <w:r>
        <w:t xml:space="preserve">e of insurance indicating that the defendant was the insurer. That case can be distinguished with this one because the </w:t>
      </w:r>
      <w:proofErr w:type="gramStart"/>
      <w:r>
        <w:t>plaintiffs</w:t>
      </w:r>
      <w:proofErr w:type="gramEnd"/>
      <w:r>
        <w:t xml:space="preserve"> pleadings showed that the defendant was the insurer of the motor vehicle which defeated their </w:t>
      </w:r>
      <w:proofErr w:type="spellStart"/>
      <w:r>
        <w:t>defence</w:t>
      </w:r>
      <w:proofErr w:type="spellEnd"/>
      <w:r>
        <w:t xml:space="preserve">. </w:t>
      </w:r>
      <w:proofErr w:type="gramStart"/>
      <w:r>
        <w:t>So</w:t>
      </w:r>
      <w:proofErr w:type="gramEnd"/>
      <w:r>
        <w:t xml:space="preserve"> the defendant's </w:t>
      </w:r>
      <w:proofErr w:type="spellStart"/>
      <w:r>
        <w:t>defe</w:t>
      </w:r>
      <w:r>
        <w:t>nce</w:t>
      </w:r>
      <w:proofErr w:type="spellEnd"/>
      <w:r>
        <w:t xml:space="preserve"> was rendered useless. In the presence case there is nothing in the statement of claim which defeats the defendant's denial of liability. Moreover, the defendant's </w:t>
      </w:r>
      <w:proofErr w:type="spellStart"/>
      <w:r>
        <w:t>defence</w:t>
      </w:r>
      <w:proofErr w:type="spellEnd"/>
      <w:r>
        <w:t xml:space="preserve"> raises some question fit to be decided by a Judge which question borders on wheth</w:t>
      </w:r>
      <w:r>
        <w:t>er or not the defendant was negligent.</w:t>
      </w:r>
    </w:p>
    <w:p w:rsidR="00DC2085" w:rsidRDefault="00DC2085">
      <w:pPr>
        <w:pStyle w:val="Bodytext20"/>
        <w:shd w:val="clear" w:color="auto" w:fill="auto"/>
        <w:spacing w:line="394" w:lineRule="exact"/>
        <w:ind w:firstLine="0"/>
      </w:pPr>
    </w:p>
    <w:p w:rsidR="00241E63" w:rsidRDefault="00120ED2">
      <w:pPr>
        <w:pStyle w:val="Bodytext20"/>
        <w:shd w:val="clear" w:color="auto" w:fill="auto"/>
        <w:spacing w:line="394" w:lineRule="exact"/>
        <w:ind w:firstLine="0"/>
      </w:pPr>
      <w:r>
        <w:t xml:space="preserve">I, therefore, find that the defendant's </w:t>
      </w:r>
      <w:proofErr w:type="spellStart"/>
      <w:r>
        <w:t>defence</w:t>
      </w:r>
      <w:proofErr w:type="spellEnd"/>
      <w:r>
        <w:t xml:space="preserve"> is reasonable. I dismiss the summons by the plaintiff to strike out the defendant's </w:t>
      </w:r>
      <w:proofErr w:type="spellStart"/>
      <w:r>
        <w:t>defence</w:t>
      </w:r>
      <w:proofErr w:type="spellEnd"/>
      <w:r>
        <w:t>. The plaintiff has a right to appeal against the decision.</w:t>
      </w:r>
    </w:p>
    <w:p w:rsidR="00DC2085" w:rsidRDefault="00DC2085">
      <w:pPr>
        <w:pStyle w:val="Bodytext20"/>
        <w:shd w:val="clear" w:color="auto" w:fill="auto"/>
        <w:spacing w:line="394" w:lineRule="exact"/>
        <w:ind w:firstLine="0"/>
      </w:pPr>
    </w:p>
    <w:p w:rsidR="00241E63" w:rsidRDefault="00120ED2">
      <w:pPr>
        <w:pStyle w:val="Bodytext20"/>
        <w:shd w:val="clear" w:color="auto" w:fill="auto"/>
        <w:spacing w:line="260" w:lineRule="exact"/>
        <w:ind w:firstLine="0"/>
      </w:pPr>
      <w:r>
        <w:t>Pronounced in cham</w:t>
      </w:r>
      <w:r>
        <w:t xml:space="preserve">bers this </w:t>
      </w:r>
      <w:r w:rsidR="00DC2085">
        <w:rPr>
          <w:rStyle w:val="Bodytext211"/>
          <w:i w:val="0"/>
        </w:rPr>
        <w:t>11</w:t>
      </w:r>
      <w:r w:rsidR="00DC2085" w:rsidRPr="00DC2085">
        <w:rPr>
          <w:rStyle w:val="Bodytext211"/>
          <w:i w:val="0"/>
          <w:vertAlign w:val="superscript"/>
        </w:rPr>
        <w:t>th</w:t>
      </w:r>
      <w:r w:rsidR="00DC2085">
        <w:rPr>
          <w:rStyle w:val="Bodytext211"/>
          <w:i w:val="0"/>
        </w:rPr>
        <w:t xml:space="preserve"> </w:t>
      </w:r>
      <w:r>
        <w:t>day of September, 2017.</w:t>
      </w:r>
    </w:p>
    <w:p w:rsidR="00DC2085" w:rsidRDefault="00120ED2">
      <w:pPr>
        <w:pStyle w:val="Bodytext30"/>
        <w:shd w:val="clear" w:color="auto" w:fill="auto"/>
        <w:spacing w:line="581" w:lineRule="exact"/>
        <w:jc w:val="left"/>
      </w:pPr>
      <w:r>
        <w:lastRenderedPageBreak/>
        <w:t xml:space="preserve">E. BODOLE (MRS) </w:t>
      </w:r>
    </w:p>
    <w:p w:rsidR="00241E63" w:rsidRDefault="00120ED2">
      <w:pPr>
        <w:pStyle w:val="Bodytext30"/>
        <w:shd w:val="clear" w:color="auto" w:fill="auto"/>
        <w:spacing w:line="581" w:lineRule="exact"/>
        <w:jc w:val="left"/>
      </w:pPr>
      <w:r>
        <w:t>ASSISTANT REGISTRAR</w:t>
      </w:r>
      <w:bookmarkEnd w:id="0"/>
    </w:p>
    <w:sectPr w:rsidR="00241E63">
      <w:footerReference w:type="default" r:id="rId7"/>
      <w:headerReference w:type="first" r:id="rId8"/>
      <w:pgSz w:w="11909" w:h="16840"/>
      <w:pgMar w:top="1351" w:right="1396" w:bottom="1430" w:left="10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D2" w:rsidRDefault="00120ED2">
      <w:r>
        <w:separator/>
      </w:r>
    </w:p>
  </w:endnote>
  <w:endnote w:type="continuationSeparator" w:id="0">
    <w:p w:rsidR="00120ED2" w:rsidRDefault="001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63" w:rsidRDefault="00120ED2">
    <w:pPr>
      <w:rPr>
        <w:sz w:val="2"/>
        <w:szCs w:val="2"/>
      </w:rPr>
    </w:pPr>
    <w:r>
      <w:pict>
        <v:shapetype id="_x0000_t202" coordsize="21600,21600" o:spt="202" path="m,l,21600r21600,l21600,xe">
          <v:stroke joinstyle="miter"/>
          <v:path gradientshapeok="t" o:connecttype="rect"/>
        </v:shapetype>
        <v:shape id="_x0000_s2050" type="#_x0000_t202" style="position:absolute;margin-left:286.8pt;margin-top:802.65pt;width:4.1pt;height:7.2pt;z-index:-188744064;mso-wrap-style:none;mso-wrap-distance-left:5pt;mso-wrap-distance-right:5pt;mso-position-horizontal-relative:page;mso-position-vertical-relative:page" wrapcoords="0 0" filled="f" stroked="f">
          <v:textbox style="mso-fit-shape-to-text:t" inset="0,0,0,0">
            <w:txbxContent>
              <w:p w:rsidR="00241E63" w:rsidRDefault="00120ED2">
                <w:pPr>
                  <w:pStyle w:val="Headerorfooter0"/>
                  <w:shd w:val="clear" w:color="auto" w:fill="auto"/>
                  <w:spacing w:line="240" w:lineRule="auto"/>
                </w:pPr>
                <w:r>
                  <w:fldChar w:fldCharType="begin"/>
                </w:r>
                <w:r>
                  <w:instrText xml:space="preserve"> PAGE \* MERGEFORMAT </w:instrText>
                </w:r>
                <w:r>
                  <w:fldChar w:fldCharType="separate"/>
                </w:r>
                <w:r>
                  <w:rPr>
                    <w:rStyle w:val="Headerorfooter10"/>
                  </w:rPr>
                  <w:t>#</w:t>
                </w:r>
                <w:r>
                  <w:rPr>
                    <w:rStyle w:val="Headerorfooter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D2" w:rsidRDefault="00120ED2"/>
  </w:footnote>
  <w:footnote w:type="continuationSeparator" w:id="0">
    <w:p w:rsidR="00120ED2" w:rsidRDefault="00120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63" w:rsidRDefault="00120ED2">
    <w:pPr>
      <w:rPr>
        <w:sz w:val="2"/>
        <w:szCs w:val="2"/>
      </w:rPr>
    </w:pPr>
    <w:r>
      <w:pict>
        <v:shapetype id="_x0000_t202" coordsize="21600,21600" o:spt="202" path="m,l,21600r21600,l21600,xe">
          <v:stroke joinstyle="miter"/>
          <v:path gradientshapeok="t" o:connecttype="rect"/>
        </v:shapetype>
        <v:shape id="_x0000_s2051" type="#_x0000_t202" style="position:absolute;margin-left:189.9pt;margin-top:30.95pt;width:189.85pt;height:9.6pt;z-index:-188744063;mso-wrap-style:none;mso-wrap-distance-left:5pt;mso-wrap-distance-right:5pt;mso-position-horizontal-relative:page;mso-position-vertical-relative:page" wrapcoords="0 0" filled="f" stroked="f">
          <v:textbox style="mso-fit-shape-to-text:t" inset="0,0,0,0">
            <w:txbxContent>
              <w:p w:rsidR="00241E63" w:rsidRDefault="00120ED2">
                <w:pPr>
                  <w:pStyle w:val="Headerorfooter0"/>
                  <w:shd w:val="clear" w:color="auto" w:fill="auto"/>
                  <w:spacing w:line="240" w:lineRule="auto"/>
                </w:pPr>
                <w:r>
                  <w:rPr>
                    <w:rStyle w:val="Headerorfooter1"/>
                    <w:b/>
                    <w:bCs/>
                  </w:rPr>
                  <w:t>IN THE HIGH COURT OF MALAWI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363"/>
    <w:multiLevelType w:val="multilevel"/>
    <w:tmpl w:val="5D7AA2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83D4C"/>
    <w:multiLevelType w:val="multilevel"/>
    <w:tmpl w:val="7E4A65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1NDM2Nzc1NbK0MLBU0lEKTi0uzszPAykwrAUA+kN5XiwAAAA="/>
  </w:docVars>
  <w:rsids>
    <w:rsidRoot w:val="00241E63"/>
    <w:rsid w:val="00120ED2"/>
    <w:rsid w:val="00241E63"/>
    <w:rsid w:val="00DC2085"/>
    <w:rsid w:val="00E506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F1875D"/>
  <w15:docId w15:val="{3A27DE08-EC6C-4494-8CD6-F2C925FD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28"/>
      <w:szCs w:val="28"/>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3SmallCaps">
    <w:name w:val="Body text (3) + Small Caps"/>
    <w:basedOn w:val="Bodytext3"/>
    <w:rPr>
      <w:rFonts w:ascii="Calibri" w:eastAsia="Calibri" w:hAnsi="Calibri" w:cs="Calibri"/>
      <w:b/>
      <w:bCs/>
      <w:i w:val="0"/>
      <w:iCs w:val="0"/>
      <w:smallCaps/>
      <w:strike w:val="0"/>
      <w:color w:val="000000"/>
      <w:spacing w:val="0"/>
      <w:w w:val="100"/>
      <w:position w:val="0"/>
      <w:sz w:val="26"/>
      <w:szCs w:val="26"/>
      <w:u w:val="none"/>
      <w:lang w:val="en-US" w:eastAsia="en-US" w:bidi="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6"/>
      <w:szCs w:val="26"/>
      <w:u w:val="none"/>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26"/>
      <w:szCs w:val="26"/>
      <w:u w:val="single"/>
      <w:lang w:val="en-US" w:eastAsia="en-US" w:bidi="en-US"/>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19"/>
      <w:szCs w:val="19"/>
      <w:u w:val="none"/>
    </w:rPr>
  </w:style>
  <w:style w:type="character" w:customStyle="1" w:styleId="Headerorfooter10">
    <w:name w:val="Header or footer + 10"/>
    <w:aliases w:val="5 pt,Not Bold"/>
    <w:basedOn w:val="Headerorfooter"/>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6"/>
      <w:szCs w:val="26"/>
      <w:u w:val="single"/>
      <w:lang w:val="en-US" w:eastAsia="en-US" w:bidi="en-US"/>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6"/>
      <w:szCs w:val="26"/>
      <w:u w:val="single"/>
      <w:lang w:val="en-US" w:eastAsia="en-US" w:bidi="en-US"/>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11">
    <w:name w:val="Body text (2) + 11"/>
    <w:aliases w:val="5 pt,Italic"/>
    <w:basedOn w:val="Bodytext2"/>
    <w:rPr>
      <w:rFonts w:ascii="Calibri" w:eastAsia="Calibri" w:hAnsi="Calibri" w:cs="Calibri"/>
      <w:b w:val="0"/>
      <w:bCs w:val="0"/>
      <w:i/>
      <w:iCs/>
      <w:smallCaps w:val="0"/>
      <w:strike w:val="0"/>
      <w:color w:val="000000"/>
      <w:spacing w:val="0"/>
      <w:w w:val="100"/>
      <w:position w:val="0"/>
      <w:sz w:val="23"/>
      <w:szCs w:val="23"/>
      <w:u w:val="none"/>
      <w:lang w:val="en-US" w:eastAsia="en-US" w:bidi="en-US"/>
    </w:rPr>
  </w:style>
  <w:style w:type="paragraph" w:customStyle="1" w:styleId="Bodytext30">
    <w:name w:val="Body text (3)"/>
    <w:basedOn w:val="Normal"/>
    <w:link w:val="Bodytext3"/>
    <w:pPr>
      <w:shd w:val="clear" w:color="auto" w:fill="FFFFFF"/>
      <w:spacing w:line="0" w:lineRule="atLeast"/>
      <w:jc w:val="center"/>
    </w:pPr>
    <w:rPr>
      <w:rFonts w:ascii="Calibri" w:eastAsia="Calibri" w:hAnsi="Calibri" w:cs="Calibri"/>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28"/>
      <w:szCs w:val="28"/>
    </w:rPr>
  </w:style>
  <w:style w:type="paragraph" w:customStyle="1" w:styleId="Bodytext20">
    <w:name w:val="Body text (2)"/>
    <w:basedOn w:val="Normal"/>
    <w:link w:val="Bodytext2"/>
    <w:pPr>
      <w:shd w:val="clear" w:color="auto" w:fill="FFFFFF"/>
      <w:spacing w:line="586" w:lineRule="exact"/>
      <w:ind w:hanging="380"/>
    </w:pPr>
    <w:rPr>
      <w:rFonts w:ascii="Calibri" w:eastAsia="Calibri" w:hAnsi="Calibri" w:cs="Calibri"/>
      <w:sz w:val="26"/>
      <w:szCs w:val="26"/>
    </w:rPr>
  </w:style>
  <w:style w:type="paragraph" w:customStyle="1" w:styleId="Bodytext40">
    <w:name w:val="Body text (4)"/>
    <w:basedOn w:val="Normal"/>
    <w:link w:val="Bodytext4"/>
    <w:pPr>
      <w:shd w:val="clear" w:color="auto" w:fill="FFFFFF"/>
      <w:spacing w:line="0" w:lineRule="atLeast"/>
      <w:jc w:val="center"/>
    </w:pPr>
    <w:rPr>
      <w:rFonts w:ascii="Consolas" w:eastAsia="Consolas" w:hAnsi="Consolas" w:cs="Consola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Mariya Badeva-Bright</cp:lastModifiedBy>
  <cp:revision>3</cp:revision>
  <dcterms:created xsi:type="dcterms:W3CDTF">2017-10-27T16:46:00Z</dcterms:created>
  <dcterms:modified xsi:type="dcterms:W3CDTF">2017-10-27T16:49:00Z</dcterms:modified>
</cp:coreProperties>
</file>