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F8" w:rsidRDefault="00780DF8" w:rsidP="00780DF8">
      <w:pPr>
        <w:jc w:val="center"/>
        <w:rPr>
          <w:rFonts w:ascii="Arial" w:hAnsi="Arial" w:cs="Arial"/>
          <w:sz w:val="72"/>
          <w:szCs w:val="72"/>
        </w:rPr>
      </w:pPr>
      <w:bookmarkStart w:id="0" w:name="_GoBack"/>
      <w:bookmarkEnd w:id="0"/>
      <w:r w:rsidRPr="00780DF8">
        <w:rPr>
          <w:rFonts w:ascii="Arial" w:hAnsi="Arial" w:cs="Arial"/>
          <w:noProof/>
          <w:sz w:val="72"/>
          <w:szCs w:val="72"/>
          <w:lang w:val="en-GB" w:eastAsia="en-GB"/>
        </w:rPr>
        <w:drawing>
          <wp:anchor distT="0" distB="0" distL="114300" distR="114300" simplePos="0" relativeHeight="251659264" behindDoc="0" locked="0" layoutInCell="1" allowOverlap="1">
            <wp:simplePos x="0" y="0"/>
            <wp:positionH relativeFrom="column">
              <wp:posOffset>2381250</wp:posOffset>
            </wp:positionH>
            <wp:positionV relativeFrom="paragraph">
              <wp:posOffset>-68580</wp:posOffset>
            </wp:positionV>
            <wp:extent cx="1375410" cy="10515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75410" cy="1051560"/>
                    </a:xfrm>
                    <a:prstGeom prst="rect">
                      <a:avLst/>
                    </a:prstGeom>
                    <a:noFill/>
                  </pic:spPr>
                </pic:pic>
              </a:graphicData>
            </a:graphic>
          </wp:anchor>
        </w:drawing>
      </w:r>
      <w:r w:rsidR="001C75D2">
        <w:rPr>
          <w:rFonts w:ascii="Arial" w:hAnsi="Arial" w:cs="Arial"/>
          <w:sz w:val="72"/>
          <w:szCs w:val="72"/>
        </w:rPr>
        <w:tab/>
      </w:r>
    </w:p>
    <w:p w:rsidR="00780DF8" w:rsidRPr="00F92184" w:rsidRDefault="00780DF8" w:rsidP="00780DF8">
      <w:pPr>
        <w:jc w:val="center"/>
        <w:rPr>
          <w:rFonts w:ascii="Bookman Old Style" w:hAnsi="Bookman Old Style"/>
          <w:sz w:val="32"/>
          <w:szCs w:val="32"/>
        </w:rPr>
      </w:pPr>
      <w:r w:rsidRPr="00F92184">
        <w:rPr>
          <w:rFonts w:ascii="Bookman Old Style" w:hAnsi="Bookman Old Style"/>
          <w:sz w:val="32"/>
          <w:szCs w:val="32"/>
        </w:rPr>
        <w:t>JUDICIARY</w:t>
      </w:r>
    </w:p>
    <w:p w:rsidR="00780DF8" w:rsidRPr="00740C9F" w:rsidRDefault="00946609" w:rsidP="00780DF8">
      <w:pPr>
        <w:spacing w:after="0"/>
        <w:jc w:val="center"/>
        <w:rPr>
          <w:rFonts w:ascii="Times New Roman" w:hAnsi="Times New Roman" w:cs="Times New Roman"/>
          <w:sz w:val="40"/>
          <w:szCs w:val="40"/>
        </w:rPr>
      </w:pPr>
      <w:r w:rsidRPr="00946609">
        <w:rPr>
          <w:rFonts w:ascii="Times New Roman" w:hAnsi="Times New Roman" w:cs="Times New Roman"/>
          <w:sz w:val="40"/>
          <w:szCs w:val="40"/>
        </w:rPr>
        <w:t>IN THE HIGH COURT OF MALAWI</w:t>
      </w:r>
    </w:p>
    <w:p w:rsidR="00780DF8" w:rsidRPr="00740C9F" w:rsidRDefault="00780DF8" w:rsidP="00780DF8">
      <w:pPr>
        <w:spacing w:after="0"/>
        <w:jc w:val="center"/>
        <w:rPr>
          <w:rFonts w:ascii="Times New Roman" w:hAnsi="Times New Roman" w:cs="Times New Roman"/>
          <w:sz w:val="40"/>
          <w:szCs w:val="40"/>
        </w:rPr>
      </w:pPr>
    </w:p>
    <w:p w:rsidR="00780DF8" w:rsidRPr="00A1760F" w:rsidRDefault="00946609" w:rsidP="00780DF8">
      <w:pPr>
        <w:spacing w:after="0"/>
        <w:jc w:val="center"/>
        <w:rPr>
          <w:rFonts w:ascii="Times New Roman" w:hAnsi="Times New Roman" w:cs="Times New Roman"/>
          <w:sz w:val="44"/>
          <w:szCs w:val="44"/>
        </w:rPr>
      </w:pPr>
      <w:r w:rsidRPr="00A1760F">
        <w:rPr>
          <w:rFonts w:ascii="Times New Roman" w:hAnsi="Times New Roman" w:cs="Times New Roman"/>
          <w:sz w:val="44"/>
          <w:szCs w:val="44"/>
        </w:rPr>
        <w:t>PRINCIPAL REGISTRY</w:t>
      </w:r>
    </w:p>
    <w:p w:rsidR="00780DF8" w:rsidRPr="00A1760F" w:rsidRDefault="00780DF8" w:rsidP="00780DF8">
      <w:pPr>
        <w:spacing w:after="0"/>
        <w:jc w:val="center"/>
        <w:rPr>
          <w:rFonts w:ascii="Times New Roman" w:hAnsi="Times New Roman" w:cs="Times New Roman"/>
          <w:sz w:val="44"/>
          <w:szCs w:val="44"/>
        </w:rPr>
      </w:pPr>
    </w:p>
    <w:p w:rsidR="00780DF8" w:rsidRPr="00A1760F" w:rsidRDefault="00946609" w:rsidP="00780DF8">
      <w:pPr>
        <w:spacing w:after="0"/>
        <w:jc w:val="center"/>
        <w:rPr>
          <w:rFonts w:ascii="Times New Roman" w:hAnsi="Times New Roman" w:cs="Times New Roman"/>
          <w:sz w:val="44"/>
          <w:szCs w:val="44"/>
        </w:rPr>
      </w:pPr>
      <w:r w:rsidRPr="00A1760F">
        <w:rPr>
          <w:rFonts w:ascii="Times New Roman" w:hAnsi="Times New Roman" w:cs="Times New Roman"/>
          <w:sz w:val="44"/>
          <w:szCs w:val="44"/>
        </w:rPr>
        <w:t>CIVIL CASE NO 419 OF 2012</w:t>
      </w:r>
    </w:p>
    <w:p w:rsidR="00780DF8" w:rsidRPr="00A1760F" w:rsidRDefault="00780DF8" w:rsidP="00780DF8">
      <w:pPr>
        <w:spacing w:after="0"/>
        <w:jc w:val="center"/>
        <w:rPr>
          <w:rFonts w:ascii="Times New Roman" w:hAnsi="Times New Roman" w:cs="Times New Roman"/>
          <w:sz w:val="44"/>
          <w:szCs w:val="44"/>
        </w:rPr>
      </w:pPr>
    </w:p>
    <w:p w:rsidR="00780DF8" w:rsidRPr="00A1760F" w:rsidRDefault="00946609" w:rsidP="00780DF8">
      <w:pPr>
        <w:spacing w:after="0"/>
        <w:jc w:val="center"/>
        <w:rPr>
          <w:rFonts w:ascii="Times New Roman" w:hAnsi="Times New Roman" w:cs="Times New Roman"/>
          <w:sz w:val="44"/>
          <w:szCs w:val="44"/>
        </w:rPr>
      </w:pPr>
      <w:r w:rsidRPr="00A1760F">
        <w:rPr>
          <w:rFonts w:ascii="Times New Roman" w:hAnsi="Times New Roman" w:cs="Times New Roman"/>
          <w:sz w:val="44"/>
          <w:szCs w:val="44"/>
        </w:rPr>
        <w:t>BETWEEN</w:t>
      </w:r>
    </w:p>
    <w:p w:rsidR="00780DF8" w:rsidRPr="00A1760F" w:rsidRDefault="00780DF8" w:rsidP="00780DF8">
      <w:pPr>
        <w:spacing w:after="0"/>
        <w:rPr>
          <w:rFonts w:ascii="Times New Roman" w:hAnsi="Times New Roman" w:cs="Times New Roman"/>
          <w:sz w:val="44"/>
          <w:szCs w:val="44"/>
        </w:rPr>
      </w:pPr>
    </w:p>
    <w:p w:rsidR="00780DF8" w:rsidRPr="00A1760F" w:rsidRDefault="00946609" w:rsidP="00780DF8">
      <w:pPr>
        <w:spacing w:after="0"/>
        <w:rPr>
          <w:rFonts w:ascii="Times New Roman" w:hAnsi="Times New Roman" w:cs="Times New Roman"/>
          <w:sz w:val="44"/>
          <w:szCs w:val="44"/>
        </w:rPr>
      </w:pPr>
      <w:r w:rsidRPr="00A1760F">
        <w:rPr>
          <w:rFonts w:ascii="Times New Roman" w:hAnsi="Times New Roman" w:cs="Times New Roman"/>
          <w:sz w:val="44"/>
          <w:szCs w:val="44"/>
        </w:rPr>
        <w:t xml:space="preserve">CHIFUNDO TENTHANI </w:t>
      </w:r>
      <w:r w:rsidRPr="00A1760F">
        <w:rPr>
          <w:rFonts w:ascii="Times New Roman" w:hAnsi="Times New Roman" w:cs="Times New Roman"/>
          <w:sz w:val="44"/>
          <w:szCs w:val="44"/>
        </w:rPr>
        <w:tab/>
      </w:r>
      <w:r w:rsidRPr="00A1760F">
        <w:rPr>
          <w:rFonts w:ascii="Times New Roman" w:hAnsi="Times New Roman" w:cs="Times New Roman"/>
          <w:sz w:val="44"/>
          <w:szCs w:val="44"/>
        </w:rPr>
        <w:tab/>
      </w:r>
      <w:r w:rsidRPr="00A1760F">
        <w:rPr>
          <w:rFonts w:ascii="Times New Roman" w:hAnsi="Times New Roman" w:cs="Times New Roman"/>
          <w:sz w:val="44"/>
          <w:szCs w:val="44"/>
        </w:rPr>
        <w:tab/>
      </w:r>
      <w:r w:rsidR="005C7041" w:rsidRPr="00A1760F">
        <w:rPr>
          <w:rFonts w:ascii="Times New Roman" w:hAnsi="Times New Roman" w:cs="Times New Roman"/>
          <w:sz w:val="44"/>
          <w:szCs w:val="44"/>
        </w:rPr>
        <w:t>CLAIMANT</w:t>
      </w:r>
    </w:p>
    <w:p w:rsidR="00780DF8" w:rsidRPr="00A1760F" w:rsidRDefault="00946609" w:rsidP="00780DF8">
      <w:pPr>
        <w:spacing w:after="0"/>
        <w:jc w:val="center"/>
        <w:rPr>
          <w:rFonts w:ascii="Times New Roman" w:hAnsi="Times New Roman" w:cs="Times New Roman"/>
          <w:sz w:val="44"/>
          <w:szCs w:val="44"/>
        </w:rPr>
      </w:pPr>
      <w:r w:rsidRPr="00A1760F">
        <w:rPr>
          <w:rFonts w:ascii="Times New Roman" w:hAnsi="Times New Roman" w:cs="Times New Roman"/>
          <w:sz w:val="44"/>
          <w:szCs w:val="44"/>
        </w:rPr>
        <w:t>AND</w:t>
      </w:r>
    </w:p>
    <w:p w:rsidR="00780DF8" w:rsidRPr="00A1760F" w:rsidRDefault="00946609" w:rsidP="00780DF8">
      <w:pPr>
        <w:spacing w:after="0"/>
        <w:rPr>
          <w:rFonts w:ascii="Times New Roman" w:hAnsi="Times New Roman" w:cs="Times New Roman"/>
          <w:sz w:val="44"/>
          <w:szCs w:val="44"/>
        </w:rPr>
      </w:pPr>
      <w:r w:rsidRPr="00A1760F">
        <w:rPr>
          <w:rFonts w:ascii="Times New Roman" w:hAnsi="Times New Roman" w:cs="Times New Roman"/>
          <w:sz w:val="44"/>
          <w:szCs w:val="44"/>
        </w:rPr>
        <w:t>BLANTYRE WATER BOARD</w:t>
      </w:r>
      <w:r w:rsidRPr="00A1760F">
        <w:rPr>
          <w:rFonts w:ascii="Times New Roman" w:hAnsi="Times New Roman" w:cs="Times New Roman"/>
          <w:sz w:val="44"/>
          <w:szCs w:val="44"/>
        </w:rPr>
        <w:tab/>
      </w:r>
      <w:r w:rsidRPr="00A1760F">
        <w:rPr>
          <w:rFonts w:ascii="Times New Roman" w:hAnsi="Times New Roman" w:cs="Times New Roman"/>
          <w:sz w:val="44"/>
          <w:szCs w:val="44"/>
        </w:rPr>
        <w:tab/>
      </w:r>
      <w:r w:rsidR="00740C9F" w:rsidRPr="00A1760F">
        <w:rPr>
          <w:rFonts w:ascii="Times New Roman" w:hAnsi="Times New Roman" w:cs="Times New Roman"/>
          <w:sz w:val="44"/>
          <w:szCs w:val="44"/>
        </w:rPr>
        <w:t>D</w:t>
      </w:r>
      <w:r w:rsidRPr="00A1760F">
        <w:rPr>
          <w:rFonts w:ascii="Times New Roman" w:hAnsi="Times New Roman" w:cs="Times New Roman"/>
          <w:sz w:val="44"/>
          <w:szCs w:val="44"/>
        </w:rPr>
        <w:t>EFENDANT</w:t>
      </w:r>
    </w:p>
    <w:p w:rsidR="00780DF8" w:rsidRPr="00A1760F" w:rsidRDefault="00780DF8" w:rsidP="00780DF8">
      <w:pPr>
        <w:jc w:val="both"/>
        <w:rPr>
          <w:rFonts w:ascii="Times New Roman" w:hAnsi="Times New Roman" w:cs="Times New Roman"/>
          <w:b/>
          <w:sz w:val="44"/>
          <w:szCs w:val="44"/>
          <w:u w:val="single"/>
        </w:rPr>
      </w:pPr>
    </w:p>
    <w:p w:rsidR="00780DF8" w:rsidRPr="00A1760F" w:rsidRDefault="00946609" w:rsidP="00780DF8">
      <w:pPr>
        <w:jc w:val="both"/>
        <w:rPr>
          <w:rFonts w:ascii="Times New Roman" w:hAnsi="Times New Roman" w:cs="Times New Roman"/>
          <w:b/>
          <w:sz w:val="44"/>
          <w:szCs w:val="44"/>
        </w:rPr>
      </w:pPr>
      <w:r w:rsidRPr="00A1760F">
        <w:rPr>
          <w:rFonts w:ascii="Times New Roman" w:hAnsi="Times New Roman" w:cs="Times New Roman"/>
          <w:b/>
          <w:sz w:val="44"/>
          <w:szCs w:val="44"/>
          <w:u w:val="single"/>
        </w:rPr>
        <w:t>CORAM</w:t>
      </w:r>
      <w:r w:rsidR="00A1760F" w:rsidRPr="00A1760F">
        <w:rPr>
          <w:rFonts w:ascii="Times New Roman" w:hAnsi="Times New Roman" w:cs="Times New Roman"/>
          <w:sz w:val="44"/>
          <w:szCs w:val="44"/>
        </w:rPr>
        <w:t>:</w:t>
      </w:r>
      <w:r w:rsidR="00A1760F" w:rsidRPr="00A1760F">
        <w:rPr>
          <w:rFonts w:ascii="Times New Roman" w:hAnsi="Times New Roman" w:cs="Times New Roman"/>
          <w:sz w:val="44"/>
          <w:szCs w:val="44"/>
        </w:rPr>
        <w:tab/>
      </w:r>
      <w:r w:rsidRPr="00A1760F">
        <w:rPr>
          <w:rFonts w:ascii="Times New Roman" w:hAnsi="Times New Roman" w:cs="Times New Roman"/>
          <w:b/>
          <w:sz w:val="44"/>
          <w:szCs w:val="44"/>
        </w:rPr>
        <w:t>JUSTICE D.F. MWAUNGULU</w:t>
      </w:r>
    </w:p>
    <w:p w:rsidR="00780DF8" w:rsidRPr="00A1760F" w:rsidRDefault="00A1760F" w:rsidP="00780DF8">
      <w:pPr>
        <w:jc w:val="both"/>
        <w:rPr>
          <w:rFonts w:ascii="Times New Roman" w:hAnsi="Times New Roman" w:cs="Times New Roman"/>
          <w:sz w:val="44"/>
          <w:szCs w:val="44"/>
        </w:rPr>
      </w:pPr>
      <w:r w:rsidRPr="00A1760F">
        <w:rPr>
          <w:rFonts w:ascii="Times New Roman" w:hAnsi="Times New Roman" w:cs="Times New Roman"/>
          <w:sz w:val="44"/>
          <w:szCs w:val="44"/>
        </w:rPr>
        <w:tab/>
      </w:r>
      <w:r w:rsidRPr="00A1760F">
        <w:rPr>
          <w:rFonts w:ascii="Times New Roman" w:hAnsi="Times New Roman" w:cs="Times New Roman"/>
          <w:sz w:val="44"/>
          <w:szCs w:val="44"/>
        </w:rPr>
        <w:tab/>
      </w:r>
      <w:r w:rsidRPr="00A1760F">
        <w:rPr>
          <w:rFonts w:ascii="Times New Roman" w:hAnsi="Times New Roman" w:cs="Times New Roman"/>
          <w:sz w:val="44"/>
          <w:szCs w:val="44"/>
        </w:rPr>
        <w:tab/>
      </w:r>
      <w:r w:rsidR="00946609" w:rsidRPr="00A1760F">
        <w:rPr>
          <w:rFonts w:ascii="Times New Roman" w:hAnsi="Times New Roman" w:cs="Times New Roman"/>
          <w:sz w:val="44"/>
          <w:szCs w:val="44"/>
        </w:rPr>
        <w:t>Kwakwalala, for the Plaintiff</w:t>
      </w:r>
    </w:p>
    <w:p w:rsidR="00780DF8" w:rsidRPr="00A1760F" w:rsidRDefault="00A1760F" w:rsidP="00780DF8">
      <w:pPr>
        <w:jc w:val="both"/>
        <w:rPr>
          <w:rFonts w:ascii="Times New Roman" w:hAnsi="Times New Roman" w:cs="Times New Roman"/>
          <w:sz w:val="44"/>
          <w:szCs w:val="44"/>
        </w:rPr>
      </w:pPr>
      <w:r w:rsidRPr="00A1760F">
        <w:rPr>
          <w:rFonts w:ascii="Times New Roman" w:hAnsi="Times New Roman" w:cs="Times New Roman"/>
          <w:sz w:val="44"/>
          <w:szCs w:val="44"/>
        </w:rPr>
        <w:tab/>
      </w:r>
      <w:r w:rsidRPr="00A1760F">
        <w:rPr>
          <w:rFonts w:ascii="Times New Roman" w:hAnsi="Times New Roman" w:cs="Times New Roman"/>
          <w:sz w:val="44"/>
          <w:szCs w:val="44"/>
        </w:rPr>
        <w:tab/>
      </w:r>
      <w:r w:rsidRPr="00A1760F">
        <w:rPr>
          <w:rFonts w:ascii="Times New Roman" w:hAnsi="Times New Roman" w:cs="Times New Roman"/>
          <w:sz w:val="44"/>
          <w:szCs w:val="44"/>
        </w:rPr>
        <w:tab/>
      </w:r>
      <w:r w:rsidR="00946609" w:rsidRPr="00A1760F">
        <w:rPr>
          <w:rFonts w:ascii="Times New Roman" w:hAnsi="Times New Roman" w:cs="Times New Roman"/>
          <w:sz w:val="44"/>
          <w:szCs w:val="44"/>
        </w:rPr>
        <w:t>Masumbu, for the Defendant</w:t>
      </w:r>
    </w:p>
    <w:p w:rsidR="00780DF8" w:rsidRPr="00A1760F" w:rsidRDefault="00A1760F" w:rsidP="00780DF8">
      <w:pPr>
        <w:jc w:val="both"/>
        <w:rPr>
          <w:rFonts w:ascii="Times New Roman" w:hAnsi="Times New Roman" w:cs="Times New Roman"/>
          <w:sz w:val="44"/>
          <w:szCs w:val="44"/>
        </w:rPr>
      </w:pPr>
      <w:r w:rsidRPr="00A1760F">
        <w:rPr>
          <w:rFonts w:ascii="Times New Roman" w:hAnsi="Times New Roman" w:cs="Times New Roman"/>
          <w:sz w:val="44"/>
          <w:szCs w:val="44"/>
        </w:rPr>
        <w:tab/>
      </w:r>
      <w:r w:rsidRPr="00A1760F">
        <w:rPr>
          <w:rFonts w:ascii="Times New Roman" w:hAnsi="Times New Roman" w:cs="Times New Roman"/>
          <w:sz w:val="44"/>
          <w:szCs w:val="44"/>
        </w:rPr>
        <w:tab/>
      </w:r>
      <w:r w:rsidRPr="00A1760F">
        <w:rPr>
          <w:rFonts w:ascii="Times New Roman" w:hAnsi="Times New Roman" w:cs="Times New Roman"/>
          <w:sz w:val="44"/>
          <w:szCs w:val="44"/>
        </w:rPr>
        <w:tab/>
      </w:r>
      <w:r w:rsidR="00946609" w:rsidRPr="00A1760F">
        <w:rPr>
          <w:rFonts w:ascii="Times New Roman" w:hAnsi="Times New Roman" w:cs="Times New Roman"/>
          <w:sz w:val="44"/>
          <w:szCs w:val="44"/>
        </w:rPr>
        <w:t>Mwanyongo, Official Court Interpreter</w:t>
      </w:r>
    </w:p>
    <w:p w:rsidR="00A1760F" w:rsidRPr="00A1760F" w:rsidRDefault="00A1760F" w:rsidP="00780DF8">
      <w:pPr>
        <w:jc w:val="both"/>
        <w:rPr>
          <w:rFonts w:ascii="Times New Roman" w:hAnsi="Times New Roman" w:cs="Times New Roman"/>
          <w:b/>
          <w:sz w:val="44"/>
          <w:szCs w:val="44"/>
        </w:rPr>
      </w:pPr>
    </w:p>
    <w:p w:rsidR="00780DF8" w:rsidRPr="00740C9F" w:rsidRDefault="00946609" w:rsidP="00780DF8">
      <w:pPr>
        <w:jc w:val="both"/>
        <w:rPr>
          <w:rFonts w:ascii="Times New Roman" w:hAnsi="Times New Roman" w:cs="Times New Roman"/>
          <w:sz w:val="32"/>
          <w:szCs w:val="32"/>
        </w:rPr>
      </w:pPr>
      <w:r w:rsidRPr="00946609">
        <w:rPr>
          <w:rFonts w:ascii="Times New Roman" w:hAnsi="Times New Roman" w:cs="Times New Roman"/>
          <w:b/>
          <w:sz w:val="32"/>
          <w:szCs w:val="32"/>
        </w:rPr>
        <w:lastRenderedPageBreak/>
        <w:t>Mwaungulu J</w:t>
      </w:r>
    </w:p>
    <w:p w:rsidR="00780DF8" w:rsidRPr="00740C9F" w:rsidRDefault="00946609" w:rsidP="005E55DF">
      <w:pPr>
        <w:ind w:firstLine="720"/>
        <w:jc w:val="center"/>
        <w:rPr>
          <w:rFonts w:ascii="Times New Roman" w:hAnsi="Times New Roman" w:cs="Times New Roman"/>
          <w:b/>
          <w:sz w:val="32"/>
          <w:szCs w:val="32"/>
          <w:u w:val="single"/>
        </w:rPr>
      </w:pPr>
      <w:r w:rsidRPr="00946609">
        <w:rPr>
          <w:rFonts w:ascii="Times New Roman" w:hAnsi="Times New Roman" w:cs="Times New Roman"/>
          <w:b/>
          <w:sz w:val="32"/>
          <w:szCs w:val="32"/>
          <w:u w:val="single"/>
        </w:rPr>
        <w:t>JUDGMENT</w:t>
      </w:r>
    </w:p>
    <w:p w:rsidR="00201616" w:rsidRPr="00BA1DFE" w:rsidRDefault="00EE721B" w:rsidP="001C75D2">
      <w:pPr>
        <w:jc w:val="both"/>
        <w:rPr>
          <w:rFonts w:ascii="Times New Roman" w:hAnsi="Times New Roman" w:cs="Times New Roman"/>
          <w:sz w:val="28"/>
          <w:szCs w:val="28"/>
        </w:rPr>
      </w:pPr>
      <w:r>
        <w:rPr>
          <w:rFonts w:ascii="Times New Roman" w:hAnsi="Times New Roman" w:cs="Times New Roman"/>
          <w:sz w:val="28"/>
          <w:szCs w:val="28"/>
        </w:rPr>
        <w:tab/>
      </w:r>
      <w:r w:rsidR="001C75D2" w:rsidRPr="00BA1DFE">
        <w:rPr>
          <w:rFonts w:ascii="Times New Roman" w:hAnsi="Times New Roman" w:cs="Times New Roman"/>
          <w:sz w:val="28"/>
          <w:szCs w:val="28"/>
        </w:rPr>
        <w:t>In this action</w:t>
      </w:r>
      <w:r w:rsidR="003D661C">
        <w:rPr>
          <w:rFonts w:ascii="Times New Roman" w:hAnsi="Times New Roman" w:cs="Times New Roman"/>
          <w:sz w:val="28"/>
          <w:szCs w:val="28"/>
        </w:rPr>
        <w:t xml:space="preserve"> Mr Tenthani</w:t>
      </w:r>
      <w:r w:rsidR="001C75D2" w:rsidRPr="00BA1DFE">
        <w:rPr>
          <w:rFonts w:ascii="Times New Roman" w:hAnsi="Times New Roman" w:cs="Times New Roman"/>
          <w:sz w:val="28"/>
          <w:szCs w:val="28"/>
        </w:rPr>
        <w:t xml:space="preserve">, a customer and consumer, sues Blantyre Water Board, a utility provider, for trespass to land and defamation over what happened on 24 -25 September 2012. By the morning of 23 - 24 September 2012 Mr Tenthani was in arrears for the months of July and August 2012. </w:t>
      </w:r>
    </w:p>
    <w:p w:rsidR="001A71D6" w:rsidRPr="00BA1DFE" w:rsidRDefault="001C75D2" w:rsidP="001C75D2">
      <w:pPr>
        <w:jc w:val="both"/>
        <w:rPr>
          <w:rFonts w:ascii="Times New Roman" w:hAnsi="Times New Roman" w:cs="Times New Roman"/>
          <w:sz w:val="28"/>
          <w:szCs w:val="28"/>
        </w:rPr>
      </w:pPr>
      <w:r w:rsidRPr="00BA1DFE">
        <w:rPr>
          <w:rFonts w:ascii="Times New Roman" w:hAnsi="Times New Roman" w:cs="Times New Roman"/>
          <w:sz w:val="28"/>
          <w:szCs w:val="28"/>
        </w:rPr>
        <w:tab/>
        <w:t xml:space="preserve">At </w:t>
      </w:r>
      <w:r w:rsidR="00223BDA">
        <w:rPr>
          <w:rFonts w:ascii="Times New Roman" w:hAnsi="Times New Roman" w:cs="Times New Roman"/>
          <w:sz w:val="28"/>
          <w:szCs w:val="28"/>
        </w:rPr>
        <w:t>8</w:t>
      </w:r>
      <w:r w:rsidRPr="00BA1DFE">
        <w:rPr>
          <w:rFonts w:ascii="Times New Roman" w:hAnsi="Times New Roman" w:cs="Times New Roman"/>
          <w:sz w:val="28"/>
          <w:szCs w:val="28"/>
        </w:rPr>
        <w:t>:</w:t>
      </w:r>
      <w:r w:rsidR="00223BDA">
        <w:rPr>
          <w:rFonts w:ascii="Times New Roman" w:hAnsi="Times New Roman" w:cs="Times New Roman"/>
          <w:sz w:val="28"/>
          <w:szCs w:val="28"/>
        </w:rPr>
        <w:t>2</w:t>
      </w:r>
      <w:r w:rsidRPr="00BA1DFE">
        <w:rPr>
          <w:rFonts w:ascii="Times New Roman" w:hAnsi="Times New Roman" w:cs="Times New Roman"/>
          <w:sz w:val="28"/>
          <w:szCs w:val="28"/>
        </w:rPr>
        <w:t>6 am on 24 September 2012, Mr Tenthani</w:t>
      </w:r>
      <w:r w:rsidR="001A0D7F" w:rsidRPr="00BA1DFE">
        <w:rPr>
          <w:rFonts w:ascii="Times New Roman" w:hAnsi="Times New Roman" w:cs="Times New Roman"/>
          <w:sz w:val="28"/>
          <w:szCs w:val="28"/>
        </w:rPr>
        <w:t xml:space="preserve"> paid the arrears through a National Bank utility service for its customers.  At 10:00 o’clock am Blantyre Water Board disconnected the water supply.  They were unaware of the payment early that morning and the National Bank utility service system Mr. Tenthani used for payment.  That day, he does not tell the time, Mr. Tenthani according to him, after the disconnection, </w:t>
      </w:r>
      <w:r w:rsidR="00CB3D2A" w:rsidRPr="00BA1DFE">
        <w:rPr>
          <w:rFonts w:ascii="Times New Roman" w:hAnsi="Times New Roman" w:cs="Times New Roman"/>
          <w:sz w:val="28"/>
          <w:szCs w:val="28"/>
        </w:rPr>
        <w:t xml:space="preserve">went </w:t>
      </w:r>
      <w:r w:rsidR="001A0D7F" w:rsidRPr="00BA1DFE">
        <w:rPr>
          <w:rFonts w:ascii="Times New Roman" w:hAnsi="Times New Roman" w:cs="Times New Roman"/>
          <w:sz w:val="28"/>
          <w:szCs w:val="28"/>
        </w:rPr>
        <w:t>to inform of the payment and request reconnection.  The Blantyre Water Board, unaware of the payment scheme Mr. Tenthani adopted, refused to recognise the payment and reconnect the water until Mr. Tenthani paid the arrears and the reconnection fee</w:t>
      </w:r>
      <w:r w:rsidR="001A71D6" w:rsidRPr="00BA1DFE">
        <w:rPr>
          <w:rFonts w:ascii="Times New Roman" w:hAnsi="Times New Roman" w:cs="Times New Roman"/>
          <w:sz w:val="28"/>
          <w:szCs w:val="28"/>
        </w:rPr>
        <w:t xml:space="preserve">.  </w:t>
      </w:r>
      <w:r w:rsidR="00223BDA">
        <w:rPr>
          <w:rFonts w:ascii="Times New Roman" w:hAnsi="Times New Roman" w:cs="Times New Roman"/>
          <w:sz w:val="28"/>
          <w:szCs w:val="28"/>
        </w:rPr>
        <w:t xml:space="preserve">Mr Tenthani, it appears, refused and never paid the reconnection fee. </w:t>
      </w:r>
      <w:r w:rsidR="001A71D6" w:rsidRPr="00BA1DFE">
        <w:rPr>
          <w:rFonts w:ascii="Times New Roman" w:hAnsi="Times New Roman" w:cs="Times New Roman"/>
          <w:sz w:val="28"/>
          <w:szCs w:val="28"/>
        </w:rPr>
        <w:t>Parties did not settle the matter that day.  It appears that there were further discussions the next day.  Blantyre Water Board, however, reconnected the water at 6:00 o’clock pm on 25 September 2015.</w:t>
      </w:r>
    </w:p>
    <w:p w:rsidR="001C75D2" w:rsidRPr="00BA1DFE" w:rsidRDefault="001A71D6" w:rsidP="001C75D2">
      <w:pPr>
        <w:jc w:val="both"/>
        <w:rPr>
          <w:rFonts w:ascii="Times New Roman" w:hAnsi="Times New Roman" w:cs="Times New Roman"/>
          <w:sz w:val="28"/>
          <w:szCs w:val="28"/>
        </w:rPr>
      </w:pPr>
      <w:r w:rsidRPr="00BA1DFE">
        <w:rPr>
          <w:rFonts w:ascii="Times New Roman" w:hAnsi="Times New Roman" w:cs="Times New Roman"/>
          <w:sz w:val="28"/>
          <w:szCs w:val="28"/>
        </w:rPr>
        <w:tab/>
        <w:t>Mr. Tenthani contends vehemently that Blantyre Water Board, who owed him a duty of care, breached that duty by, despite payment, refusing to connect the water for the two days.  Mr. Tenthani suffered damage reasonably foreseeable for which he must recover from Blantyre Water Board.  Mr. Tenthani further contends that the Blantyre Water Board’s action, disconnecting the water of a diligent payer</w:t>
      </w:r>
      <w:r w:rsidR="001A0D7F" w:rsidRPr="00BA1DFE">
        <w:rPr>
          <w:rFonts w:ascii="Times New Roman" w:hAnsi="Times New Roman" w:cs="Times New Roman"/>
          <w:sz w:val="28"/>
          <w:szCs w:val="28"/>
        </w:rPr>
        <w:t xml:space="preserve"> of its utilities, grossly dented his reputation among neighbours who in utter humiliation, think that Mr. Tenthani does not pay water bills.  </w:t>
      </w:r>
      <w:r w:rsidR="00223BDA">
        <w:rPr>
          <w:rFonts w:ascii="Times New Roman" w:hAnsi="Times New Roman" w:cs="Times New Roman"/>
          <w:sz w:val="28"/>
          <w:szCs w:val="28"/>
        </w:rPr>
        <w:t xml:space="preserve">Mr Tenthani further contends that, having paid the water bills, Blantyre Water Board’s entry on the premises was a trespass. </w:t>
      </w:r>
      <w:r w:rsidR="001A0D7F" w:rsidRPr="00BA1DFE">
        <w:rPr>
          <w:rFonts w:ascii="Times New Roman" w:hAnsi="Times New Roman" w:cs="Times New Roman"/>
          <w:sz w:val="28"/>
          <w:szCs w:val="28"/>
        </w:rPr>
        <w:t>The defendant contends that at the time of the disconnection and reconnection, Mr. Tenthani was in arrears from which Blantyre Water Board</w:t>
      </w:r>
      <w:r w:rsidRPr="00BA1DFE">
        <w:rPr>
          <w:rFonts w:ascii="Times New Roman" w:hAnsi="Times New Roman" w:cs="Times New Roman"/>
          <w:sz w:val="28"/>
          <w:szCs w:val="28"/>
        </w:rPr>
        <w:t xml:space="preserve"> purported disconnect the water and, therefore, Blantyre Water Board was not negligent, never committed a trespass to land and never by its conduct, defamed Mr. Tenthani.</w:t>
      </w:r>
    </w:p>
    <w:p w:rsidR="00CB3D2A" w:rsidRPr="00BA1DFE" w:rsidRDefault="00CB3D2A" w:rsidP="001C75D2">
      <w:pPr>
        <w:jc w:val="both"/>
        <w:rPr>
          <w:rFonts w:ascii="Times New Roman" w:hAnsi="Times New Roman" w:cs="Times New Roman"/>
          <w:sz w:val="28"/>
          <w:szCs w:val="28"/>
        </w:rPr>
      </w:pPr>
      <w:r w:rsidRPr="00BA1DFE">
        <w:rPr>
          <w:rFonts w:ascii="Times New Roman" w:hAnsi="Times New Roman" w:cs="Times New Roman"/>
          <w:sz w:val="28"/>
          <w:szCs w:val="28"/>
        </w:rPr>
        <w:lastRenderedPageBreak/>
        <w:tab/>
        <w:t>The two pleaded actions for defamation and trespass to land</w:t>
      </w:r>
      <w:r w:rsidR="00EE721B">
        <w:rPr>
          <w:rFonts w:ascii="Times New Roman" w:hAnsi="Times New Roman" w:cs="Times New Roman"/>
          <w:sz w:val="28"/>
          <w:szCs w:val="28"/>
        </w:rPr>
        <w:t xml:space="preserve"> and </w:t>
      </w:r>
      <w:r w:rsidR="00223BDA">
        <w:rPr>
          <w:rFonts w:ascii="Times New Roman" w:hAnsi="Times New Roman" w:cs="Times New Roman"/>
          <w:sz w:val="28"/>
          <w:szCs w:val="28"/>
        </w:rPr>
        <w:t>one not</w:t>
      </w:r>
      <w:r w:rsidR="00EE721B">
        <w:rPr>
          <w:rFonts w:ascii="Times New Roman" w:hAnsi="Times New Roman" w:cs="Times New Roman"/>
          <w:sz w:val="28"/>
          <w:szCs w:val="28"/>
        </w:rPr>
        <w:t xml:space="preserve"> </w:t>
      </w:r>
      <w:r w:rsidRPr="00BA1DFE">
        <w:rPr>
          <w:rFonts w:ascii="Times New Roman" w:hAnsi="Times New Roman" w:cs="Times New Roman"/>
          <w:sz w:val="28"/>
          <w:szCs w:val="28"/>
        </w:rPr>
        <w:t xml:space="preserve">pleaded action, surfacing prominently in the submissions and skeleton arguments, depend on the finding of fact on the evidence both sides proffered </w:t>
      </w:r>
      <w:r w:rsidR="002F4DE0" w:rsidRPr="00BA1DFE">
        <w:rPr>
          <w:rFonts w:ascii="Times New Roman" w:hAnsi="Times New Roman" w:cs="Times New Roman"/>
          <w:sz w:val="28"/>
          <w:szCs w:val="28"/>
        </w:rPr>
        <w:t xml:space="preserve">in this court.  It maybe that, due to that other remedies have been stated generally, that this court may have to consider whether other causes of actions, not clearly stated by the applicant’s counsel, arise in this action.  Maybe, starting with the one not pleaded but appearing in the skeleton arguments and submissions, namely, the claim for negligence, the short answer to the claim is that, </w:t>
      </w:r>
      <w:r w:rsidR="008E3FBD" w:rsidRPr="00BA1DFE">
        <w:rPr>
          <w:rFonts w:ascii="Times New Roman" w:hAnsi="Times New Roman" w:cs="Times New Roman"/>
          <w:sz w:val="28"/>
          <w:szCs w:val="28"/>
        </w:rPr>
        <w:t>it should fail on the one cardinal requirement that there cannot be an action for negligence where there is no injury to the claimant or damage the claimant’s property (</w:t>
      </w:r>
      <w:r w:rsidR="007E6B1B">
        <w:rPr>
          <w:rFonts w:ascii="Times New Roman" w:hAnsi="Times New Roman" w:cs="Times New Roman"/>
          <w:i/>
          <w:sz w:val="28"/>
          <w:szCs w:val="28"/>
        </w:rPr>
        <w:t xml:space="preserve">Lynch v Knight </w:t>
      </w:r>
      <w:r w:rsidR="007E6B1B">
        <w:rPr>
          <w:rFonts w:ascii="Times New Roman" w:hAnsi="Times New Roman" w:cs="Times New Roman"/>
          <w:sz w:val="28"/>
          <w:szCs w:val="28"/>
        </w:rPr>
        <w:t xml:space="preserve">(1861) 9 HLC 577; </w:t>
      </w:r>
      <w:r w:rsidR="00985DA5">
        <w:rPr>
          <w:rFonts w:ascii="Times New Roman" w:hAnsi="Times New Roman" w:cs="Times New Roman"/>
          <w:i/>
          <w:sz w:val="28"/>
          <w:szCs w:val="28"/>
        </w:rPr>
        <w:t xml:space="preserve">Dulieu White </w:t>
      </w:r>
      <w:r w:rsidR="00985DA5">
        <w:rPr>
          <w:rFonts w:ascii="Times New Roman" w:hAnsi="Times New Roman" w:cs="Times New Roman"/>
          <w:sz w:val="28"/>
          <w:szCs w:val="28"/>
        </w:rPr>
        <w:t xml:space="preserve">[1981] 2 KB 669; </w:t>
      </w:r>
      <w:r w:rsidR="00985DA5">
        <w:rPr>
          <w:rFonts w:ascii="Times New Roman" w:hAnsi="Times New Roman" w:cs="Times New Roman"/>
          <w:i/>
          <w:sz w:val="28"/>
          <w:szCs w:val="28"/>
        </w:rPr>
        <w:t xml:space="preserve">Blake v Midland Railway </w:t>
      </w:r>
      <w:r w:rsidR="00985DA5">
        <w:rPr>
          <w:rFonts w:ascii="Times New Roman" w:hAnsi="Times New Roman" w:cs="Times New Roman"/>
          <w:sz w:val="28"/>
          <w:szCs w:val="28"/>
        </w:rPr>
        <w:t xml:space="preserve">(1852) 11 QB 93; </w:t>
      </w:r>
      <w:r w:rsidR="00985DA5">
        <w:rPr>
          <w:rFonts w:ascii="Times New Roman" w:hAnsi="Times New Roman" w:cs="Times New Roman"/>
          <w:i/>
          <w:sz w:val="28"/>
          <w:szCs w:val="28"/>
        </w:rPr>
        <w:t xml:space="preserve">Juma v Mandala Motors Ltd </w:t>
      </w:r>
      <w:r w:rsidR="00985DA5">
        <w:rPr>
          <w:rFonts w:ascii="Times New Roman" w:hAnsi="Times New Roman" w:cs="Times New Roman"/>
          <w:sz w:val="28"/>
          <w:szCs w:val="28"/>
        </w:rPr>
        <w:t xml:space="preserve">[1993] 16 (1) MLR 139; </w:t>
      </w:r>
      <w:r w:rsidR="00985DA5">
        <w:rPr>
          <w:rFonts w:ascii="Times New Roman" w:hAnsi="Times New Roman" w:cs="Times New Roman"/>
          <w:i/>
          <w:sz w:val="28"/>
          <w:szCs w:val="28"/>
        </w:rPr>
        <w:t>Electricity Supply Commission of Malawi v Malawi Railways Ltd</w:t>
      </w:r>
      <w:r w:rsidR="00985DA5">
        <w:rPr>
          <w:rFonts w:ascii="Times New Roman" w:hAnsi="Times New Roman" w:cs="Times New Roman"/>
          <w:sz w:val="28"/>
          <w:szCs w:val="28"/>
        </w:rPr>
        <w:t xml:space="preserve"> [1987-89] 12 MLR </w:t>
      </w:r>
      <w:r w:rsidR="00164D5E">
        <w:rPr>
          <w:rFonts w:ascii="Times New Roman" w:hAnsi="Times New Roman" w:cs="Times New Roman"/>
          <w:sz w:val="28"/>
          <w:szCs w:val="28"/>
        </w:rPr>
        <w:t xml:space="preserve">268; </w:t>
      </w:r>
      <w:r w:rsidR="00164D5E">
        <w:rPr>
          <w:rFonts w:ascii="Times New Roman" w:hAnsi="Times New Roman" w:cs="Times New Roman"/>
          <w:i/>
          <w:sz w:val="28"/>
          <w:szCs w:val="28"/>
        </w:rPr>
        <w:t xml:space="preserve">Paul Gatrell Agencies v Yasini </w:t>
      </w:r>
      <w:r w:rsidR="00164D5E">
        <w:rPr>
          <w:rFonts w:ascii="Times New Roman" w:hAnsi="Times New Roman" w:cs="Times New Roman"/>
          <w:sz w:val="28"/>
          <w:szCs w:val="28"/>
        </w:rPr>
        <w:t>[1993] 16 (1) MLR 416</w:t>
      </w:r>
      <w:r w:rsidR="00985DA5">
        <w:rPr>
          <w:rFonts w:ascii="Times New Roman" w:hAnsi="Times New Roman" w:cs="Times New Roman"/>
          <w:i/>
          <w:sz w:val="28"/>
          <w:szCs w:val="28"/>
        </w:rPr>
        <w:t xml:space="preserve"> </w:t>
      </w:r>
      <w:r w:rsidR="008E3FBD" w:rsidRPr="00BA1DFE">
        <w:rPr>
          <w:rFonts w:ascii="Times New Roman" w:hAnsi="Times New Roman" w:cs="Times New Roman"/>
          <w:sz w:val="28"/>
          <w:szCs w:val="28"/>
        </w:rPr>
        <w:t>).There is negligence where</w:t>
      </w:r>
      <w:r w:rsidR="00402635" w:rsidRPr="00BA1DFE">
        <w:rPr>
          <w:rFonts w:ascii="Times New Roman" w:hAnsi="Times New Roman" w:cs="Times New Roman"/>
          <w:sz w:val="28"/>
          <w:szCs w:val="28"/>
        </w:rPr>
        <w:t xml:space="preserve"> another, from the nature of a transaction or relationship, said to owe a duty of care to another, by actions of omission or commission, breaches that duty of care and causes foreseeable damage to property of another or injury to the other which is not in the nature of de minimis. It is elementary that there must be damage caused by or following the other’s breach of duty</w:t>
      </w:r>
      <w:r w:rsidR="00164D5E">
        <w:rPr>
          <w:rFonts w:ascii="Times New Roman" w:hAnsi="Times New Roman" w:cs="Times New Roman"/>
          <w:sz w:val="28"/>
          <w:szCs w:val="28"/>
        </w:rPr>
        <w:t xml:space="preserve"> (</w:t>
      </w:r>
      <w:r w:rsidR="00164D5E">
        <w:rPr>
          <w:rFonts w:ascii="Times New Roman" w:hAnsi="Times New Roman" w:cs="Times New Roman"/>
          <w:i/>
          <w:sz w:val="28"/>
          <w:szCs w:val="28"/>
        </w:rPr>
        <w:t xml:space="preserve">Tennet &amp; Sons Ltd v Mawindo </w:t>
      </w:r>
      <w:r w:rsidR="00164D5E">
        <w:rPr>
          <w:rFonts w:ascii="Times New Roman" w:hAnsi="Times New Roman" w:cs="Times New Roman"/>
          <w:sz w:val="28"/>
          <w:szCs w:val="28"/>
        </w:rPr>
        <w:t xml:space="preserve">[1981-83] 10 MLR 366; </w:t>
      </w:r>
      <w:r w:rsidR="00164D5E">
        <w:rPr>
          <w:rFonts w:ascii="Times New Roman" w:hAnsi="Times New Roman" w:cs="Times New Roman"/>
          <w:i/>
          <w:sz w:val="28"/>
          <w:szCs w:val="28"/>
        </w:rPr>
        <w:t xml:space="preserve">Elias v Attorney General </w:t>
      </w:r>
      <w:r w:rsidR="00164D5E">
        <w:rPr>
          <w:rFonts w:ascii="Times New Roman" w:hAnsi="Times New Roman" w:cs="Times New Roman"/>
          <w:sz w:val="28"/>
          <w:szCs w:val="28"/>
        </w:rPr>
        <w:t xml:space="preserve">[1973-74] ALR (Mal) 9; and </w:t>
      </w:r>
      <w:r w:rsidR="00164D5E">
        <w:rPr>
          <w:rFonts w:ascii="Times New Roman" w:hAnsi="Times New Roman" w:cs="Times New Roman"/>
          <w:i/>
          <w:sz w:val="28"/>
          <w:szCs w:val="28"/>
        </w:rPr>
        <w:t>Donoghue v Stevenson</w:t>
      </w:r>
      <w:r w:rsidR="00164D5E">
        <w:rPr>
          <w:rFonts w:ascii="Times New Roman" w:hAnsi="Times New Roman" w:cs="Times New Roman"/>
          <w:sz w:val="28"/>
          <w:szCs w:val="28"/>
        </w:rPr>
        <w:t xml:space="preserve"> [</w:t>
      </w:r>
      <w:r w:rsidR="00294F9D">
        <w:rPr>
          <w:rFonts w:ascii="Times New Roman" w:hAnsi="Times New Roman" w:cs="Times New Roman"/>
          <w:sz w:val="28"/>
          <w:szCs w:val="28"/>
        </w:rPr>
        <w:t>1932] AC 562)</w:t>
      </w:r>
      <w:r w:rsidR="00402635" w:rsidRPr="00BA1DFE">
        <w:rPr>
          <w:rFonts w:ascii="Times New Roman" w:hAnsi="Times New Roman" w:cs="Times New Roman"/>
          <w:sz w:val="28"/>
          <w:szCs w:val="28"/>
        </w:rPr>
        <w:t xml:space="preserve">. The applicant never established that there was damage. It is unnecessary, therefore, to consider whether in this case the defendant owed the applicant a duty of care that, subsequently breached, caused injury to the applicant. As already noted, there is no action for negligence in the </w:t>
      </w:r>
      <w:r w:rsidR="00EE721B">
        <w:rPr>
          <w:rFonts w:ascii="Times New Roman" w:hAnsi="Times New Roman" w:cs="Times New Roman"/>
          <w:sz w:val="28"/>
          <w:szCs w:val="28"/>
        </w:rPr>
        <w:t xml:space="preserve">lodged </w:t>
      </w:r>
      <w:r w:rsidR="00402635" w:rsidRPr="00BA1DFE">
        <w:rPr>
          <w:rFonts w:ascii="Times New Roman" w:hAnsi="Times New Roman" w:cs="Times New Roman"/>
          <w:sz w:val="28"/>
          <w:szCs w:val="28"/>
        </w:rPr>
        <w:t xml:space="preserve">statement of case. The action for negligence, only arising </w:t>
      </w:r>
      <w:r w:rsidR="008E0913" w:rsidRPr="00BA1DFE">
        <w:rPr>
          <w:rFonts w:ascii="Times New Roman" w:hAnsi="Times New Roman" w:cs="Times New Roman"/>
          <w:sz w:val="28"/>
          <w:szCs w:val="28"/>
        </w:rPr>
        <w:t xml:space="preserve">in the submissions, should, </w:t>
      </w:r>
      <w:r w:rsidR="00402635" w:rsidRPr="00BA1DFE">
        <w:rPr>
          <w:rFonts w:ascii="Times New Roman" w:hAnsi="Times New Roman" w:cs="Times New Roman"/>
          <w:sz w:val="28"/>
          <w:szCs w:val="28"/>
        </w:rPr>
        <w:t xml:space="preserve">therefore, </w:t>
      </w:r>
      <w:r w:rsidR="008E0913" w:rsidRPr="00BA1DFE">
        <w:rPr>
          <w:rFonts w:ascii="Times New Roman" w:hAnsi="Times New Roman" w:cs="Times New Roman"/>
          <w:sz w:val="28"/>
          <w:szCs w:val="28"/>
        </w:rPr>
        <w:t>not be considered at all.</w:t>
      </w:r>
    </w:p>
    <w:p w:rsidR="00EE721B" w:rsidRDefault="00B90EA5" w:rsidP="001C75D2">
      <w:pPr>
        <w:jc w:val="both"/>
        <w:rPr>
          <w:rFonts w:ascii="Times New Roman" w:hAnsi="Times New Roman" w:cs="Times New Roman"/>
          <w:sz w:val="28"/>
          <w:szCs w:val="28"/>
        </w:rPr>
      </w:pPr>
      <w:r w:rsidRPr="00BA1DFE">
        <w:rPr>
          <w:rFonts w:ascii="Times New Roman" w:hAnsi="Times New Roman" w:cs="Times New Roman"/>
          <w:sz w:val="28"/>
          <w:szCs w:val="28"/>
        </w:rPr>
        <w:tab/>
        <w:t xml:space="preserve">Trespass to land occurs when one through entry or any other manner interferes with land in possession, though not necessarily to ownership, of another.  Unlike negligence, trespass to land is actionable per se and, therefore, the complainant does not have to prove damage.  Trespass to land, therefore, is an action of strict liability.  It must be established however that the entry or interference with possession of the land was without the consent or authority of the injured.  The </w:t>
      </w:r>
      <w:r w:rsidR="00EE721B">
        <w:rPr>
          <w:rFonts w:ascii="Times New Roman" w:hAnsi="Times New Roman" w:cs="Times New Roman"/>
          <w:sz w:val="28"/>
          <w:szCs w:val="28"/>
        </w:rPr>
        <w:t>consent</w:t>
      </w:r>
      <w:r w:rsidR="00EE721B" w:rsidRPr="00BA1DFE">
        <w:rPr>
          <w:rFonts w:ascii="Times New Roman" w:hAnsi="Times New Roman" w:cs="Times New Roman"/>
          <w:sz w:val="28"/>
          <w:szCs w:val="28"/>
        </w:rPr>
        <w:t xml:space="preserve"> </w:t>
      </w:r>
      <w:r w:rsidRPr="00BA1DFE">
        <w:rPr>
          <w:rFonts w:ascii="Times New Roman" w:hAnsi="Times New Roman" w:cs="Times New Roman"/>
          <w:sz w:val="28"/>
          <w:szCs w:val="28"/>
        </w:rPr>
        <w:t>or authority can be explicit or implied.  For a person on the premises of another with the co</w:t>
      </w:r>
      <w:r w:rsidR="00EE721B">
        <w:rPr>
          <w:rFonts w:ascii="Times New Roman" w:hAnsi="Times New Roman" w:cs="Times New Roman"/>
          <w:sz w:val="28"/>
          <w:szCs w:val="28"/>
        </w:rPr>
        <w:t xml:space="preserve">nsent </w:t>
      </w:r>
      <w:r w:rsidRPr="00BA1DFE">
        <w:rPr>
          <w:rFonts w:ascii="Times New Roman" w:hAnsi="Times New Roman" w:cs="Times New Roman"/>
          <w:sz w:val="28"/>
          <w:szCs w:val="28"/>
        </w:rPr>
        <w:t xml:space="preserve">or authority of another is a licensee and a </w:t>
      </w:r>
      <w:r w:rsidRPr="00BA1DFE">
        <w:rPr>
          <w:rFonts w:ascii="Times New Roman" w:hAnsi="Times New Roman" w:cs="Times New Roman"/>
          <w:sz w:val="28"/>
          <w:szCs w:val="28"/>
        </w:rPr>
        <w:lastRenderedPageBreak/>
        <w:t>licensee, until or unless the authority or consent is withdrawn</w:t>
      </w:r>
      <w:r w:rsidR="00EE721B">
        <w:rPr>
          <w:rFonts w:ascii="Times New Roman" w:hAnsi="Times New Roman" w:cs="Times New Roman"/>
          <w:sz w:val="28"/>
          <w:szCs w:val="28"/>
        </w:rPr>
        <w:t xml:space="preserve"> or revoked</w:t>
      </w:r>
      <w:r w:rsidRPr="00BA1DFE">
        <w:rPr>
          <w:rFonts w:ascii="Times New Roman" w:hAnsi="Times New Roman" w:cs="Times New Roman"/>
          <w:sz w:val="28"/>
          <w:szCs w:val="28"/>
        </w:rPr>
        <w:t>, is not a trespasser on continuing to be on the premises</w:t>
      </w:r>
      <w:r w:rsidR="00294F9D">
        <w:rPr>
          <w:rFonts w:ascii="Times New Roman" w:hAnsi="Times New Roman" w:cs="Times New Roman"/>
          <w:sz w:val="28"/>
          <w:szCs w:val="28"/>
        </w:rPr>
        <w:t xml:space="preserve"> (</w:t>
      </w:r>
      <w:r w:rsidR="00294F9D">
        <w:rPr>
          <w:rFonts w:ascii="Times New Roman" w:hAnsi="Times New Roman" w:cs="Times New Roman"/>
          <w:i/>
          <w:sz w:val="28"/>
          <w:szCs w:val="28"/>
        </w:rPr>
        <w:t xml:space="preserve">Thomas v Sawkins </w:t>
      </w:r>
      <w:r w:rsidR="00294F9D">
        <w:rPr>
          <w:rFonts w:ascii="Times New Roman" w:hAnsi="Times New Roman" w:cs="Times New Roman"/>
          <w:sz w:val="28"/>
          <w:szCs w:val="28"/>
        </w:rPr>
        <w:t xml:space="preserve">[1935] 2 KB 249; </w:t>
      </w:r>
      <w:r w:rsidR="00294F9D">
        <w:rPr>
          <w:rFonts w:ascii="Times New Roman" w:hAnsi="Times New Roman" w:cs="Times New Roman"/>
          <w:i/>
          <w:sz w:val="28"/>
          <w:szCs w:val="28"/>
        </w:rPr>
        <w:t>Tikafika Estates Ltd and another v Ashani</w:t>
      </w:r>
      <w:r w:rsidR="00294F9D">
        <w:rPr>
          <w:rFonts w:ascii="Times New Roman" w:hAnsi="Times New Roman" w:cs="Times New Roman"/>
          <w:sz w:val="28"/>
          <w:szCs w:val="28"/>
        </w:rPr>
        <w:t xml:space="preserve"> [1998] MLR 424</w:t>
      </w:r>
      <w:r w:rsidRPr="00BA1DFE">
        <w:rPr>
          <w:rFonts w:ascii="Times New Roman" w:hAnsi="Times New Roman" w:cs="Times New Roman"/>
          <w:sz w:val="28"/>
          <w:szCs w:val="28"/>
        </w:rPr>
        <w:t xml:space="preserve">.  </w:t>
      </w:r>
    </w:p>
    <w:p w:rsidR="00EE721B" w:rsidRDefault="00EE721B" w:rsidP="001C75D2">
      <w:pPr>
        <w:jc w:val="both"/>
        <w:rPr>
          <w:rFonts w:ascii="Times New Roman" w:hAnsi="Times New Roman" w:cs="Times New Roman"/>
          <w:sz w:val="28"/>
          <w:szCs w:val="28"/>
        </w:rPr>
      </w:pPr>
      <w:r>
        <w:rPr>
          <w:rFonts w:ascii="Times New Roman" w:hAnsi="Times New Roman" w:cs="Times New Roman"/>
          <w:sz w:val="28"/>
          <w:szCs w:val="28"/>
        </w:rPr>
        <w:tab/>
      </w:r>
      <w:r w:rsidR="00B90EA5" w:rsidRPr="00BA1DFE">
        <w:rPr>
          <w:rFonts w:ascii="Times New Roman" w:hAnsi="Times New Roman" w:cs="Times New Roman"/>
          <w:sz w:val="28"/>
          <w:szCs w:val="28"/>
        </w:rPr>
        <w:t>Ordinarily, between a utility provider</w:t>
      </w:r>
      <w:r>
        <w:rPr>
          <w:rFonts w:ascii="Times New Roman" w:hAnsi="Times New Roman" w:cs="Times New Roman"/>
          <w:sz w:val="28"/>
          <w:szCs w:val="28"/>
        </w:rPr>
        <w:t>,</w:t>
      </w:r>
      <w:r w:rsidR="00B90EA5" w:rsidRPr="00BA1DFE">
        <w:rPr>
          <w:rFonts w:ascii="Times New Roman" w:hAnsi="Times New Roman" w:cs="Times New Roman"/>
          <w:sz w:val="28"/>
          <w:szCs w:val="28"/>
        </w:rPr>
        <w:t xml:space="preserve"> such as the defendant is known to be</w:t>
      </w:r>
      <w:r>
        <w:rPr>
          <w:rFonts w:ascii="Times New Roman" w:hAnsi="Times New Roman" w:cs="Times New Roman"/>
          <w:sz w:val="28"/>
          <w:szCs w:val="28"/>
        </w:rPr>
        <w:t>,</w:t>
      </w:r>
      <w:r w:rsidR="00B90EA5" w:rsidRPr="00BA1DFE">
        <w:rPr>
          <w:rFonts w:ascii="Times New Roman" w:hAnsi="Times New Roman" w:cs="Times New Roman"/>
          <w:sz w:val="28"/>
          <w:szCs w:val="28"/>
        </w:rPr>
        <w:t xml:space="preserve"> and a customer</w:t>
      </w:r>
      <w:r>
        <w:rPr>
          <w:rFonts w:ascii="Times New Roman" w:hAnsi="Times New Roman" w:cs="Times New Roman"/>
          <w:sz w:val="28"/>
          <w:szCs w:val="28"/>
        </w:rPr>
        <w:t>,</w:t>
      </w:r>
      <w:r w:rsidR="00B90EA5" w:rsidRPr="00BA1DFE">
        <w:rPr>
          <w:rFonts w:ascii="Times New Roman" w:hAnsi="Times New Roman" w:cs="Times New Roman"/>
          <w:sz w:val="28"/>
          <w:szCs w:val="28"/>
        </w:rPr>
        <w:t xml:space="preserve"> the contract under which the public utility provider </w:t>
      </w:r>
      <w:r>
        <w:rPr>
          <w:rFonts w:ascii="Times New Roman" w:hAnsi="Times New Roman" w:cs="Times New Roman"/>
          <w:sz w:val="28"/>
          <w:szCs w:val="28"/>
        </w:rPr>
        <w:t>supplies</w:t>
      </w:r>
      <w:r w:rsidRPr="00BA1DFE">
        <w:rPr>
          <w:rFonts w:ascii="Times New Roman" w:hAnsi="Times New Roman" w:cs="Times New Roman"/>
          <w:sz w:val="28"/>
          <w:szCs w:val="28"/>
        </w:rPr>
        <w:t xml:space="preserve"> </w:t>
      </w:r>
      <w:r w:rsidR="00B90EA5" w:rsidRPr="00BA1DFE">
        <w:rPr>
          <w:rFonts w:ascii="Times New Roman" w:hAnsi="Times New Roman" w:cs="Times New Roman"/>
          <w:sz w:val="28"/>
          <w:szCs w:val="28"/>
        </w:rPr>
        <w:t xml:space="preserve">utilities to a customer will be based on a contract which, as a matter of course, </w:t>
      </w:r>
      <w:r w:rsidR="00B15BAC" w:rsidRPr="00BA1DFE">
        <w:rPr>
          <w:rFonts w:ascii="Times New Roman" w:hAnsi="Times New Roman" w:cs="Times New Roman"/>
          <w:sz w:val="28"/>
          <w:szCs w:val="28"/>
        </w:rPr>
        <w:t xml:space="preserve">authorizes entry into the premises for interruption of supply of the utility when the customer either interferes with the facility or, as happened in this case, the customer fails to pay for the utility.  In this case, unfortunately, neither the public utility provider nor the customer proffered the contract.  </w:t>
      </w:r>
    </w:p>
    <w:p w:rsidR="00740C9F" w:rsidRDefault="00EE721B" w:rsidP="001C75D2">
      <w:pPr>
        <w:jc w:val="both"/>
        <w:rPr>
          <w:rFonts w:ascii="Times New Roman" w:hAnsi="Times New Roman" w:cs="Times New Roman"/>
          <w:sz w:val="28"/>
          <w:szCs w:val="28"/>
        </w:rPr>
      </w:pPr>
      <w:r>
        <w:rPr>
          <w:rFonts w:ascii="Times New Roman" w:hAnsi="Times New Roman" w:cs="Times New Roman"/>
          <w:sz w:val="28"/>
          <w:szCs w:val="28"/>
        </w:rPr>
        <w:tab/>
      </w:r>
      <w:r w:rsidR="00716C81">
        <w:rPr>
          <w:rFonts w:ascii="Times New Roman" w:hAnsi="Times New Roman" w:cs="Times New Roman"/>
          <w:sz w:val="28"/>
          <w:szCs w:val="28"/>
        </w:rPr>
        <w:t>For</w:t>
      </w:r>
      <w:r w:rsidR="00B15BAC" w:rsidRPr="00BA1DFE">
        <w:rPr>
          <w:rFonts w:ascii="Times New Roman" w:hAnsi="Times New Roman" w:cs="Times New Roman"/>
          <w:sz w:val="28"/>
          <w:szCs w:val="28"/>
        </w:rPr>
        <w:t xml:space="preserve"> Blantyre Water Board, the statute implies the license</w:t>
      </w:r>
      <w:r>
        <w:rPr>
          <w:rFonts w:ascii="Times New Roman" w:hAnsi="Times New Roman" w:cs="Times New Roman"/>
          <w:sz w:val="28"/>
          <w:szCs w:val="28"/>
        </w:rPr>
        <w:t xml:space="preserve"> to enter premises</w:t>
      </w:r>
      <w:r w:rsidR="00122A34" w:rsidRPr="00122A34">
        <w:rPr>
          <w:rFonts w:ascii="Times New Roman" w:hAnsi="Times New Roman" w:cs="Times New Roman"/>
          <w:i/>
          <w:sz w:val="28"/>
          <w:szCs w:val="28"/>
        </w:rPr>
        <w:t xml:space="preserve"> </w:t>
      </w:r>
      <w:r w:rsidR="00122A34">
        <w:rPr>
          <w:rFonts w:ascii="Times New Roman" w:hAnsi="Times New Roman" w:cs="Times New Roman"/>
          <w:i/>
          <w:sz w:val="28"/>
          <w:szCs w:val="28"/>
        </w:rPr>
        <w:t>Thomas v Sawkins</w:t>
      </w:r>
      <w:r w:rsidR="00122A34">
        <w:rPr>
          <w:rFonts w:ascii="Times New Roman" w:hAnsi="Times New Roman" w:cs="Times New Roman"/>
          <w:sz w:val="28"/>
          <w:szCs w:val="28"/>
        </w:rPr>
        <w:t>)</w:t>
      </w:r>
      <w:r w:rsidR="00B15BAC" w:rsidRPr="00BA1DFE">
        <w:rPr>
          <w:rFonts w:ascii="Times New Roman" w:hAnsi="Times New Roman" w:cs="Times New Roman"/>
          <w:sz w:val="28"/>
          <w:szCs w:val="28"/>
        </w:rPr>
        <w:t xml:space="preserve">.  </w:t>
      </w:r>
      <w:r>
        <w:rPr>
          <w:rFonts w:ascii="Times New Roman" w:hAnsi="Times New Roman" w:cs="Times New Roman"/>
          <w:sz w:val="28"/>
          <w:szCs w:val="28"/>
        </w:rPr>
        <w:t xml:space="preserve">Section </w:t>
      </w:r>
      <w:r w:rsidR="00740C9F">
        <w:rPr>
          <w:rFonts w:ascii="Times New Roman" w:hAnsi="Times New Roman" w:cs="Times New Roman"/>
          <w:sz w:val="28"/>
          <w:szCs w:val="28"/>
        </w:rPr>
        <w:t>3 (1)</w:t>
      </w:r>
      <w:r>
        <w:rPr>
          <w:rFonts w:ascii="Times New Roman" w:hAnsi="Times New Roman" w:cs="Times New Roman"/>
          <w:sz w:val="28"/>
          <w:szCs w:val="28"/>
        </w:rPr>
        <w:t xml:space="preserve"> of the Water </w:t>
      </w:r>
      <w:r w:rsidR="00740C9F">
        <w:rPr>
          <w:rFonts w:ascii="Times New Roman" w:hAnsi="Times New Roman" w:cs="Times New Roman"/>
          <w:sz w:val="28"/>
          <w:szCs w:val="28"/>
        </w:rPr>
        <w:t>Works Act</w:t>
      </w:r>
      <w:r>
        <w:rPr>
          <w:rFonts w:ascii="Times New Roman" w:hAnsi="Times New Roman" w:cs="Times New Roman"/>
          <w:sz w:val="28"/>
          <w:szCs w:val="28"/>
        </w:rPr>
        <w:t xml:space="preserve"> </w:t>
      </w:r>
      <w:r w:rsidR="00716C81">
        <w:rPr>
          <w:rFonts w:ascii="Times New Roman" w:hAnsi="Times New Roman" w:cs="Times New Roman"/>
          <w:sz w:val="28"/>
          <w:szCs w:val="28"/>
        </w:rPr>
        <w:t>creates a board for a designated water supply area</w:t>
      </w:r>
      <w:r w:rsidR="00740C9F">
        <w:rPr>
          <w:rFonts w:ascii="Times New Roman" w:hAnsi="Times New Roman" w:cs="Times New Roman"/>
          <w:sz w:val="28"/>
          <w:szCs w:val="28"/>
        </w:rPr>
        <w:t>:</w:t>
      </w:r>
      <w:r w:rsidR="00716C81">
        <w:rPr>
          <w:rFonts w:ascii="Times New Roman" w:hAnsi="Times New Roman" w:cs="Times New Roman"/>
          <w:sz w:val="28"/>
          <w:szCs w:val="28"/>
        </w:rPr>
        <w:t xml:space="preserve"> </w:t>
      </w:r>
    </w:p>
    <w:p w:rsidR="00740C9F" w:rsidRPr="00740C9F" w:rsidRDefault="00740C9F" w:rsidP="00740C9F">
      <w:pPr>
        <w:ind w:left="2160" w:right="2160"/>
        <w:jc w:val="both"/>
        <w:rPr>
          <w:rFonts w:ascii="Times New Roman" w:hAnsi="Times New Roman" w:cs="Times New Roman"/>
          <w:sz w:val="28"/>
          <w:szCs w:val="28"/>
        </w:rPr>
      </w:pPr>
      <w:r w:rsidRPr="00740C9F">
        <w:rPr>
          <w:rFonts w:ascii="Times New Roman" w:hAnsi="Times New Roman" w:cs="Times New Roman"/>
          <w:sz w:val="28"/>
          <w:szCs w:val="28"/>
        </w:rPr>
        <w:t>There is hereby established for each water-area (in this Act otherwise referred to as the “water-area”) a Water Board (in this Act otherwise referred to as the “Board”) as specified in the Schedule.</w:t>
      </w:r>
    </w:p>
    <w:p w:rsidR="00716C81" w:rsidRDefault="00740C9F" w:rsidP="001C75D2">
      <w:pPr>
        <w:jc w:val="both"/>
        <w:rPr>
          <w:rFonts w:ascii="Times New Roman" w:hAnsi="Times New Roman" w:cs="Times New Roman"/>
          <w:sz w:val="28"/>
          <w:szCs w:val="28"/>
        </w:rPr>
      </w:pPr>
      <w:r w:rsidRPr="00740C9F">
        <w:rPr>
          <w:rFonts w:ascii="Times New Roman" w:hAnsi="Times New Roman" w:cs="Times New Roman"/>
          <w:sz w:val="28"/>
          <w:szCs w:val="28"/>
        </w:rPr>
        <w:tab/>
      </w:r>
      <w:r w:rsidR="00716C81">
        <w:rPr>
          <w:rFonts w:ascii="Times New Roman" w:hAnsi="Times New Roman" w:cs="Times New Roman"/>
          <w:sz w:val="28"/>
          <w:szCs w:val="28"/>
        </w:rPr>
        <w:t xml:space="preserve">Section </w:t>
      </w:r>
      <w:r>
        <w:rPr>
          <w:rFonts w:ascii="Times New Roman" w:hAnsi="Times New Roman" w:cs="Times New Roman"/>
          <w:sz w:val="28"/>
          <w:szCs w:val="28"/>
        </w:rPr>
        <w:t xml:space="preserve">3 (3) </w:t>
      </w:r>
      <w:r w:rsidR="00716C81">
        <w:rPr>
          <w:rFonts w:ascii="Times New Roman" w:hAnsi="Times New Roman" w:cs="Times New Roman"/>
          <w:sz w:val="28"/>
          <w:szCs w:val="28"/>
        </w:rPr>
        <w:t xml:space="preserve">of the Water </w:t>
      </w:r>
      <w:r>
        <w:rPr>
          <w:rFonts w:ascii="Times New Roman" w:hAnsi="Times New Roman" w:cs="Times New Roman"/>
          <w:sz w:val="28"/>
          <w:szCs w:val="28"/>
        </w:rPr>
        <w:t>Works</w:t>
      </w:r>
      <w:r w:rsidR="00716C81">
        <w:rPr>
          <w:rFonts w:ascii="Times New Roman" w:hAnsi="Times New Roman" w:cs="Times New Roman"/>
          <w:sz w:val="28"/>
          <w:szCs w:val="28"/>
        </w:rPr>
        <w:t xml:space="preserve"> Act </w:t>
      </w:r>
      <w:r>
        <w:rPr>
          <w:rFonts w:ascii="Times New Roman" w:hAnsi="Times New Roman" w:cs="Times New Roman"/>
          <w:sz w:val="28"/>
          <w:szCs w:val="28"/>
        </w:rPr>
        <w:t>empowers</w:t>
      </w:r>
      <w:r w:rsidR="00716C81">
        <w:rPr>
          <w:rFonts w:ascii="Times New Roman" w:hAnsi="Times New Roman" w:cs="Times New Roman"/>
          <w:sz w:val="28"/>
          <w:szCs w:val="28"/>
        </w:rPr>
        <w:t xml:space="preserve"> the board to en</w:t>
      </w:r>
      <w:r>
        <w:rPr>
          <w:rFonts w:ascii="Times New Roman" w:hAnsi="Times New Roman" w:cs="Times New Roman"/>
          <w:sz w:val="28"/>
          <w:szCs w:val="28"/>
        </w:rPr>
        <w:t>force payments of rates and, at that</w:t>
      </w:r>
      <w:r w:rsidR="005C7041">
        <w:rPr>
          <w:rFonts w:ascii="Times New Roman" w:hAnsi="Times New Roman" w:cs="Times New Roman"/>
          <w:sz w:val="28"/>
          <w:szCs w:val="28"/>
        </w:rPr>
        <w:t>, in</w:t>
      </w:r>
      <w:r>
        <w:rPr>
          <w:rFonts w:ascii="Times New Roman" w:hAnsi="Times New Roman" w:cs="Times New Roman"/>
          <w:sz w:val="28"/>
          <w:szCs w:val="28"/>
        </w:rPr>
        <w:t xml:space="preserve"> accordance with the Water Works Act</w:t>
      </w:r>
      <w:r w:rsidR="00716C81">
        <w:rPr>
          <w:rFonts w:ascii="Times New Roman" w:hAnsi="Times New Roman" w:cs="Times New Roman"/>
          <w:sz w:val="28"/>
          <w:szCs w:val="28"/>
        </w:rPr>
        <w:t>:</w:t>
      </w:r>
    </w:p>
    <w:p w:rsidR="00F147AE" w:rsidRDefault="00740C9F">
      <w:pPr>
        <w:ind w:left="2160" w:right="2160"/>
        <w:jc w:val="both"/>
        <w:rPr>
          <w:rFonts w:ascii="Times New Roman" w:hAnsi="Times New Roman" w:cs="Times New Roman"/>
          <w:sz w:val="28"/>
          <w:szCs w:val="28"/>
        </w:rPr>
      </w:pPr>
      <w:r w:rsidRPr="00740C9F">
        <w:rPr>
          <w:rFonts w:ascii="Times New Roman" w:hAnsi="Times New Roman" w:cs="Times New Roman"/>
          <w:sz w:val="28"/>
          <w:szCs w:val="28"/>
        </w:rPr>
        <w:t>The powers of the Board shall include power to levy and enforce payment of rates in accordance with this Act, and power to engage in research or investigation in connexion with water supplies and water-borne sewerage sanitation either alone or by arrangement or in conjunction with other persons.</w:t>
      </w:r>
    </w:p>
    <w:p w:rsidR="00740C9F" w:rsidRPr="00740C9F" w:rsidRDefault="00740C9F" w:rsidP="00740C9F">
      <w:pPr>
        <w:jc w:val="both"/>
        <w:rPr>
          <w:rFonts w:ascii="Times New Roman" w:hAnsi="Times New Roman" w:cs="Times New Roman"/>
          <w:sz w:val="28"/>
          <w:szCs w:val="28"/>
        </w:rPr>
      </w:pPr>
      <w:r w:rsidRPr="00740C9F">
        <w:rPr>
          <w:rFonts w:ascii="Times New Roman" w:hAnsi="Times New Roman" w:cs="Times New Roman"/>
          <w:sz w:val="28"/>
          <w:szCs w:val="28"/>
        </w:rPr>
        <w:t xml:space="preserve">Section 15 </w:t>
      </w:r>
      <w:r w:rsidR="003D661C">
        <w:rPr>
          <w:rFonts w:ascii="Times New Roman" w:hAnsi="Times New Roman" w:cs="Times New Roman"/>
          <w:sz w:val="28"/>
          <w:szCs w:val="28"/>
        </w:rPr>
        <w:t xml:space="preserve">(d) </w:t>
      </w:r>
      <w:r w:rsidRPr="00740C9F">
        <w:rPr>
          <w:rFonts w:ascii="Times New Roman" w:hAnsi="Times New Roman" w:cs="Times New Roman"/>
          <w:sz w:val="28"/>
          <w:szCs w:val="28"/>
        </w:rPr>
        <w:t xml:space="preserve">of the Water Works Act provides for specified times </w:t>
      </w:r>
      <w:r w:rsidR="003D661C">
        <w:rPr>
          <w:rFonts w:ascii="Times New Roman" w:hAnsi="Times New Roman" w:cs="Times New Roman"/>
          <w:sz w:val="28"/>
          <w:szCs w:val="28"/>
        </w:rPr>
        <w:t xml:space="preserve">and </w:t>
      </w:r>
      <w:r w:rsidRPr="00740C9F">
        <w:rPr>
          <w:rFonts w:ascii="Times New Roman" w:hAnsi="Times New Roman" w:cs="Times New Roman"/>
          <w:sz w:val="28"/>
          <w:szCs w:val="28"/>
        </w:rPr>
        <w:t>power of entry and disconnect</w:t>
      </w:r>
      <w:r w:rsidR="003D661C">
        <w:rPr>
          <w:rFonts w:ascii="Times New Roman" w:hAnsi="Times New Roman" w:cs="Times New Roman"/>
          <w:sz w:val="28"/>
          <w:szCs w:val="28"/>
        </w:rPr>
        <w:t xml:space="preserve">ion of </w:t>
      </w:r>
      <w:r w:rsidRPr="00740C9F">
        <w:rPr>
          <w:rFonts w:ascii="Times New Roman" w:hAnsi="Times New Roman" w:cs="Times New Roman"/>
          <w:sz w:val="28"/>
          <w:szCs w:val="28"/>
        </w:rPr>
        <w:t>water supply:</w:t>
      </w:r>
    </w:p>
    <w:p w:rsidR="00F147AE" w:rsidRDefault="00740C9F">
      <w:pPr>
        <w:ind w:left="2160" w:right="2160"/>
        <w:jc w:val="both"/>
        <w:rPr>
          <w:rFonts w:ascii="Times New Roman" w:hAnsi="Times New Roman" w:cs="Times New Roman"/>
          <w:sz w:val="28"/>
          <w:szCs w:val="28"/>
        </w:rPr>
      </w:pPr>
      <w:r w:rsidRPr="00740C9F">
        <w:rPr>
          <w:rFonts w:ascii="Times New Roman" w:hAnsi="Times New Roman" w:cs="Times New Roman"/>
          <w:sz w:val="28"/>
          <w:szCs w:val="28"/>
        </w:rPr>
        <w:lastRenderedPageBreak/>
        <w:t>Any person duly authorized by the Board in writing may, any time between 6 a.m. and 6 p.m. or in the case of urgency at any other time, for the purposes hereinafter mentioned, enter into and upon any premises within the water-area through, over or under which any service or waterworks are lai</w:t>
      </w:r>
      <w:r w:rsidR="003D661C">
        <w:rPr>
          <w:rFonts w:ascii="Times New Roman" w:hAnsi="Times New Roman" w:cs="Times New Roman"/>
          <w:sz w:val="28"/>
          <w:szCs w:val="28"/>
        </w:rPr>
        <w:t xml:space="preserve">d … </w:t>
      </w:r>
      <w:r w:rsidRPr="00740C9F">
        <w:rPr>
          <w:rFonts w:ascii="Times New Roman" w:hAnsi="Times New Roman" w:cs="Times New Roman"/>
          <w:sz w:val="28"/>
          <w:szCs w:val="28"/>
        </w:rPr>
        <w:t>to disconnect the supply of water to any premises or to diminish, withhold or suspend, stop, turn off or divert the supply of water to any premises.</w:t>
      </w:r>
    </w:p>
    <w:p w:rsidR="00B15BAC" w:rsidRPr="00BA1DFE" w:rsidRDefault="003D661C" w:rsidP="001C75D2">
      <w:pPr>
        <w:jc w:val="both"/>
        <w:rPr>
          <w:rFonts w:ascii="Times New Roman" w:hAnsi="Times New Roman" w:cs="Times New Roman"/>
          <w:sz w:val="28"/>
          <w:szCs w:val="28"/>
        </w:rPr>
      </w:pPr>
      <w:r>
        <w:rPr>
          <w:rFonts w:ascii="Times New Roman" w:hAnsi="Times New Roman" w:cs="Times New Roman"/>
          <w:sz w:val="28"/>
          <w:szCs w:val="28"/>
        </w:rPr>
        <w:t xml:space="preserve">According to both the Blantyre Water Board and Mr Tenthani, the Blantyre Water Board disconnected the water because of failure to pay for the water at Blantyre Water Board. There is, however, much ado about whether, at the time of disconnection by Blantyre Water Board Mr Tenthani had paid the bill. Mr Tenthani alleges and Blantyre Water Board denies that at the time Blantyre Water Board disconnected </w:t>
      </w:r>
      <w:r w:rsidR="005C7041">
        <w:rPr>
          <w:rFonts w:ascii="Times New Roman" w:hAnsi="Times New Roman" w:cs="Times New Roman"/>
          <w:sz w:val="28"/>
          <w:szCs w:val="28"/>
        </w:rPr>
        <w:t>the</w:t>
      </w:r>
      <w:r>
        <w:rPr>
          <w:rFonts w:ascii="Times New Roman" w:hAnsi="Times New Roman" w:cs="Times New Roman"/>
          <w:sz w:val="28"/>
          <w:szCs w:val="28"/>
        </w:rPr>
        <w:t xml:space="preserve"> water Mr Tenthani had paid for the water.</w:t>
      </w:r>
      <w:r w:rsidR="00B15BAC" w:rsidRPr="00BA1DFE">
        <w:rPr>
          <w:rFonts w:ascii="Times New Roman" w:hAnsi="Times New Roman" w:cs="Times New Roman"/>
          <w:sz w:val="28"/>
          <w:szCs w:val="28"/>
        </w:rPr>
        <w:tab/>
        <w:t>The evidence, not controverted by the applicant is that on the 24</w:t>
      </w:r>
      <w:r w:rsidR="00B15BAC" w:rsidRPr="00BA1DFE">
        <w:rPr>
          <w:rFonts w:ascii="Times New Roman" w:hAnsi="Times New Roman" w:cs="Times New Roman"/>
          <w:sz w:val="28"/>
          <w:szCs w:val="28"/>
          <w:vertAlign w:val="superscript"/>
        </w:rPr>
        <w:t>th</w:t>
      </w:r>
      <w:r w:rsidR="00B15BAC" w:rsidRPr="00BA1DFE">
        <w:rPr>
          <w:rFonts w:ascii="Times New Roman" w:hAnsi="Times New Roman" w:cs="Times New Roman"/>
          <w:sz w:val="28"/>
          <w:szCs w:val="28"/>
        </w:rPr>
        <w:t xml:space="preserve"> of September 2012 Mr. Tenthani had not paid for the months of July and August</w:t>
      </w:r>
      <w:r>
        <w:rPr>
          <w:rFonts w:ascii="Times New Roman" w:hAnsi="Times New Roman" w:cs="Times New Roman"/>
          <w:sz w:val="28"/>
          <w:szCs w:val="28"/>
        </w:rPr>
        <w:t>.</w:t>
      </w:r>
    </w:p>
    <w:p w:rsidR="00C858F9" w:rsidRDefault="00B15BAC" w:rsidP="001C75D2">
      <w:pPr>
        <w:jc w:val="both"/>
        <w:rPr>
          <w:rFonts w:ascii="Times New Roman" w:hAnsi="Times New Roman" w:cs="Times New Roman"/>
          <w:sz w:val="28"/>
          <w:szCs w:val="28"/>
        </w:rPr>
      </w:pPr>
      <w:r w:rsidRPr="00BA1DFE">
        <w:rPr>
          <w:rFonts w:ascii="Times New Roman" w:hAnsi="Times New Roman" w:cs="Times New Roman"/>
          <w:sz w:val="28"/>
          <w:szCs w:val="28"/>
        </w:rPr>
        <w:tab/>
        <w:t>The first point taken by Mr. Tenthani is that he</w:t>
      </w:r>
      <w:r w:rsidR="00F228CC">
        <w:rPr>
          <w:rFonts w:ascii="Times New Roman" w:hAnsi="Times New Roman" w:cs="Times New Roman"/>
          <w:sz w:val="28"/>
          <w:szCs w:val="28"/>
        </w:rPr>
        <w:t>,</w:t>
      </w:r>
      <w:r w:rsidRPr="00BA1DFE">
        <w:rPr>
          <w:rFonts w:ascii="Times New Roman" w:hAnsi="Times New Roman" w:cs="Times New Roman"/>
          <w:sz w:val="28"/>
          <w:szCs w:val="28"/>
        </w:rPr>
        <w:t xml:space="preserve"> having paid the whole bill, including the September 2012 bill</w:t>
      </w:r>
      <w:r w:rsidR="00404BF4">
        <w:rPr>
          <w:rFonts w:ascii="Times New Roman" w:hAnsi="Times New Roman" w:cs="Times New Roman"/>
          <w:sz w:val="28"/>
          <w:szCs w:val="28"/>
        </w:rPr>
        <w:t xml:space="preserve">, the </w:t>
      </w:r>
      <w:r w:rsidRPr="00BA1DFE">
        <w:rPr>
          <w:rFonts w:ascii="Times New Roman" w:hAnsi="Times New Roman" w:cs="Times New Roman"/>
          <w:sz w:val="28"/>
          <w:szCs w:val="28"/>
        </w:rPr>
        <w:t xml:space="preserve">Blantyre Water Board could not have disconnected the water supply.  On Mr. Tenthani’s own evidence, it is unknown and, therefore, should have been </w:t>
      </w:r>
      <w:r w:rsidR="00F228CC">
        <w:rPr>
          <w:rFonts w:ascii="Times New Roman" w:hAnsi="Times New Roman" w:cs="Times New Roman"/>
          <w:sz w:val="28"/>
          <w:szCs w:val="28"/>
        </w:rPr>
        <w:t xml:space="preserve">proved </w:t>
      </w:r>
      <w:r w:rsidRPr="00BA1DFE">
        <w:rPr>
          <w:rFonts w:ascii="Times New Roman" w:hAnsi="Times New Roman" w:cs="Times New Roman"/>
          <w:sz w:val="28"/>
          <w:szCs w:val="28"/>
        </w:rPr>
        <w:t>by him because the burden of proof lay on him, whether</w:t>
      </w:r>
      <w:r w:rsidR="00666FE9">
        <w:rPr>
          <w:rFonts w:ascii="Times New Roman" w:hAnsi="Times New Roman" w:cs="Times New Roman"/>
          <w:sz w:val="28"/>
          <w:szCs w:val="28"/>
        </w:rPr>
        <w:t xml:space="preserve"> and when</w:t>
      </w:r>
      <w:r w:rsidRPr="00BA1DFE">
        <w:rPr>
          <w:rFonts w:ascii="Times New Roman" w:hAnsi="Times New Roman" w:cs="Times New Roman"/>
          <w:sz w:val="28"/>
          <w:szCs w:val="28"/>
        </w:rPr>
        <w:t xml:space="preserve">, having paid at </w:t>
      </w:r>
      <w:r w:rsidR="00465AF7">
        <w:rPr>
          <w:rFonts w:ascii="Times New Roman" w:hAnsi="Times New Roman" w:cs="Times New Roman"/>
          <w:sz w:val="28"/>
          <w:szCs w:val="28"/>
        </w:rPr>
        <w:t>8</w:t>
      </w:r>
      <w:r w:rsidRPr="00BA1DFE">
        <w:rPr>
          <w:rFonts w:ascii="Times New Roman" w:hAnsi="Times New Roman" w:cs="Times New Roman"/>
          <w:sz w:val="28"/>
          <w:szCs w:val="28"/>
        </w:rPr>
        <w:t>:</w:t>
      </w:r>
      <w:r w:rsidR="00465AF7">
        <w:rPr>
          <w:rFonts w:ascii="Times New Roman" w:hAnsi="Times New Roman" w:cs="Times New Roman"/>
          <w:sz w:val="28"/>
          <w:szCs w:val="28"/>
        </w:rPr>
        <w:t>2</w:t>
      </w:r>
      <w:r w:rsidRPr="00BA1DFE">
        <w:rPr>
          <w:rFonts w:ascii="Times New Roman" w:hAnsi="Times New Roman" w:cs="Times New Roman"/>
          <w:sz w:val="28"/>
          <w:szCs w:val="28"/>
        </w:rPr>
        <w:t>6 am, he made Blantyre Water Board aware of the payment.</w:t>
      </w:r>
      <w:r w:rsidR="00AE4B92" w:rsidRPr="00BA1DFE">
        <w:rPr>
          <w:rFonts w:ascii="Times New Roman" w:hAnsi="Times New Roman" w:cs="Times New Roman"/>
          <w:sz w:val="28"/>
          <w:szCs w:val="28"/>
        </w:rPr>
        <w:t xml:space="preserve">  Blantyre Water Board is adamant that, however facile the system the National Bank created for the ease of its customers, it was not aware of it</w:t>
      </w:r>
      <w:r w:rsidR="00666FE9">
        <w:rPr>
          <w:rFonts w:ascii="Times New Roman" w:hAnsi="Times New Roman" w:cs="Times New Roman"/>
          <w:sz w:val="28"/>
          <w:szCs w:val="28"/>
        </w:rPr>
        <w:t xml:space="preserve"> or part of it</w:t>
      </w:r>
      <w:r w:rsidR="00AE4B92" w:rsidRPr="00BA1DFE">
        <w:rPr>
          <w:rFonts w:ascii="Times New Roman" w:hAnsi="Times New Roman" w:cs="Times New Roman"/>
          <w:sz w:val="28"/>
          <w:szCs w:val="28"/>
        </w:rPr>
        <w:t xml:space="preserve">.  </w:t>
      </w:r>
      <w:r w:rsidR="00666FE9">
        <w:rPr>
          <w:rFonts w:ascii="Times New Roman" w:hAnsi="Times New Roman" w:cs="Times New Roman"/>
          <w:sz w:val="28"/>
          <w:szCs w:val="28"/>
        </w:rPr>
        <w:t xml:space="preserve">Mr </w:t>
      </w:r>
      <w:r w:rsidR="005C7041">
        <w:rPr>
          <w:rFonts w:ascii="Times New Roman" w:hAnsi="Times New Roman" w:cs="Times New Roman"/>
          <w:sz w:val="28"/>
          <w:szCs w:val="28"/>
        </w:rPr>
        <w:t>Tenthani</w:t>
      </w:r>
      <w:r w:rsidR="00AE4B92" w:rsidRPr="00BA1DFE">
        <w:rPr>
          <w:rFonts w:ascii="Times New Roman" w:hAnsi="Times New Roman" w:cs="Times New Roman"/>
          <w:sz w:val="28"/>
          <w:szCs w:val="28"/>
        </w:rPr>
        <w:t xml:space="preserve"> has not shown that he informed Blantyre Water Board </w:t>
      </w:r>
      <w:r w:rsidR="00666FE9">
        <w:rPr>
          <w:rFonts w:ascii="Times New Roman" w:hAnsi="Times New Roman" w:cs="Times New Roman"/>
          <w:sz w:val="28"/>
          <w:szCs w:val="28"/>
        </w:rPr>
        <w:t xml:space="preserve">shortly </w:t>
      </w:r>
      <w:r w:rsidR="000103E9">
        <w:rPr>
          <w:rFonts w:ascii="Times New Roman" w:hAnsi="Times New Roman" w:cs="Times New Roman"/>
          <w:sz w:val="28"/>
          <w:szCs w:val="28"/>
        </w:rPr>
        <w:t xml:space="preserve">or immediately </w:t>
      </w:r>
      <w:r w:rsidR="00666FE9">
        <w:rPr>
          <w:rFonts w:ascii="Times New Roman" w:hAnsi="Times New Roman" w:cs="Times New Roman"/>
          <w:sz w:val="28"/>
          <w:szCs w:val="28"/>
        </w:rPr>
        <w:t>after the payment</w:t>
      </w:r>
      <w:r w:rsidR="000103E9">
        <w:rPr>
          <w:rFonts w:ascii="Times New Roman" w:hAnsi="Times New Roman" w:cs="Times New Roman"/>
          <w:sz w:val="28"/>
          <w:szCs w:val="28"/>
        </w:rPr>
        <w:t xml:space="preserve"> through his bank</w:t>
      </w:r>
      <w:r w:rsidR="00AE4B92" w:rsidRPr="00BA1DFE">
        <w:rPr>
          <w:rFonts w:ascii="Times New Roman" w:hAnsi="Times New Roman" w:cs="Times New Roman"/>
          <w:sz w:val="28"/>
          <w:szCs w:val="28"/>
        </w:rPr>
        <w:t xml:space="preserve">.  </w:t>
      </w:r>
      <w:r w:rsidR="000103E9">
        <w:rPr>
          <w:rFonts w:ascii="Times New Roman" w:hAnsi="Times New Roman" w:cs="Times New Roman"/>
          <w:sz w:val="28"/>
          <w:szCs w:val="28"/>
        </w:rPr>
        <w:t xml:space="preserve">He subsequently, we do not know when and at what time, </w:t>
      </w:r>
      <w:r w:rsidR="00223BDA">
        <w:rPr>
          <w:rFonts w:ascii="Times New Roman" w:hAnsi="Times New Roman" w:cs="Times New Roman"/>
          <w:sz w:val="28"/>
          <w:szCs w:val="28"/>
        </w:rPr>
        <w:t>he went to Blantyre Water Board.</w:t>
      </w:r>
      <w:r w:rsidR="000103E9">
        <w:rPr>
          <w:rFonts w:ascii="Times New Roman" w:hAnsi="Times New Roman" w:cs="Times New Roman"/>
          <w:sz w:val="28"/>
          <w:szCs w:val="28"/>
        </w:rPr>
        <w:t xml:space="preserve"> </w:t>
      </w:r>
      <w:r w:rsidR="00C858F9">
        <w:rPr>
          <w:rFonts w:ascii="Times New Roman" w:hAnsi="Times New Roman" w:cs="Times New Roman"/>
          <w:sz w:val="28"/>
          <w:szCs w:val="28"/>
        </w:rPr>
        <w:t xml:space="preserve">Blantyre Water Board was adamant that it was unaware of the system to pay the bank. It reinforced the stance by calling a witness who in his witness statement stated that Blantyre Water Board was not aware of the scheme. Mr. Tenthani’s witness statement does not say that Blantyre Water Board knew of the scheme. Mr Tenthani’s counsel only raises the matter in the skeleton evidence. There is no </w:t>
      </w:r>
      <w:r w:rsidR="00C858F9">
        <w:rPr>
          <w:rFonts w:ascii="Times New Roman" w:hAnsi="Times New Roman" w:cs="Times New Roman"/>
          <w:sz w:val="28"/>
          <w:szCs w:val="28"/>
        </w:rPr>
        <w:lastRenderedPageBreak/>
        <w:t>evidence to back what Counsel raises.</w:t>
      </w:r>
      <w:r w:rsidR="00F147AE">
        <w:rPr>
          <w:rFonts w:ascii="Times New Roman" w:hAnsi="Times New Roman" w:cs="Times New Roman"/>
          <w:sz w:val="28"/>
          <w:szCs w:val="28"/>
        </w:rPr>
        <w:t xml:space="preserve"> Whatever evidence there is on the matter, the </w:t>
      </w:r>
      <w:r w:rsidR="00465AF7">
        <w:rPr>
          <w:rFonts w:ascii="Times New Roman" w:hAnsi="Times New Roman" w:cs="Times New Roman"/>
          <w:sz w:val="28"/>
          <w:szCs w:val="28"/>
        </w:rPr>
        <w:t xml:space="preserve">question must be whether Mr Tenthani had, if at all, paid </w:t>
      </w:r>
      <w:r w:rsidR="00F147AE">
        <w:rPr>
          <w:rFonts w:ascii="Times New Roman" w:hAnsi="Times New Roman" w:cs="Times New Roman"/>
          <w:sz w:val="28"/>
          <w:szCs w:val="28"/>
        </w:rPr>
        <w:t xml:space="preserve">Blantyre Water Board </w:t>
      </w:r>
      <w:r w:rsidR="00465AF7">
        <w:rPr>
          <w:rFonts w:ascii="Times New Roman" w:hAnsi="Times New Roman" w:cs="Times New Roman"/>
          <w:sz w:val="28"/>
          <w:szCs w:val="28"/>
        </w:rPr>
        <w:t>the arrears at the time of disconnection</w:t>
      </w:r>
      <w:r w:rsidR="00F147AE">
        <w:rPr>
          <w:rFonts w:ascii="Times New Roman" w:hAnsi="Times New Roman" w:cs="Times New Roman"/>
          <w:sz w:val="28"/>
          <w:szCs w:val="28"/>
        </w:rPr>
        <w:t>.</w:t>
      </w:r>
      <w:r w:rsidR="00465AF7">
        <w:rPr>
          <w:rFonts w:ascii="Times New Roman" w:hAnsi="Times New Roman" w:cs="Times New Roman"/>
          <w:sz w:val="28"/>
          <w:szCs w:val="28"/>
        </w:rPr>
        <w:t xml:space="preserve"> Mr Tenthani assumes that payment at the bank of Blantyre Water Board through his bank was payment to Blantyre Water Board. That, in the absence of agreement that the bank would be the place of payment</w:t>
      </w:r>
      <w:r w:rsidR="00B13156">
        <w:rPr>
          <w:rFonts w:ascii="Times New Roman" w:hAnsi="Times New Roman" w:cs="Times New Roman"/>
          <w:sz w:val="28"/>
          <w:szCs w:val="28"/>
        </w:rPr>
        <w:t>, cannot be correct.</w:t>
      </w:r>
    </w:p>
    <w:p w:rsidR="00F147AE" w:rsidRDefault="00F147AE" w:rsidP="001C75D2">
      <w:pPr>
        <w:jc w:val="both"/>
        <w:rPr>
          <w:rFonts w:ascii="Times New Roman" w:hAnsi="Times New Roman" w:cs="Times New Roman"/>
          <w:sz w:val="28"/>
          <w:szCs w:val="28"/>
        </w:rPr>
      </w:pPr>
      <w:r>
        <w:rPr>
          <w:rFonts w:ascii="Times New Roman" w:hAnsi="Times New Roman" w:cs="Times New Roman"/>
          <w:sz w:val="28"/>
          <w:szCs w:val="28"/>
        </w:rPr>
        <w:tab/>
        <w:t xml:space="preserve">In the absence of agreement to the contrary, it is the duty of the buyer to bring the purchase price to the seller. The seller, in the absence of agreement, is not supposed to seek the seller for the purchase price. </w:t>
      </w:r>
      <w:r w:rsidR="00B13156">
        <w:rPr>
          <w:rFonts w:ascii="Times New Roman" w:hAnsi="Times New Roman" w:cs="Times New Roman"/>
          <w:sz w:val="28"/>
          <w:szCs w:val="28"/>
        </w:rPr>
        <w:t>Where, like here, the seller has a place of business, the buyer must pay the price at the seller’s place of business. Mr Tenthani did not pay the arrears at the place of business of Blantyre Water Board. Paying at the bank of Blantyre Water Board is not paying at the place of business of Blantyre Water Board. Mr Tenthani’s or Blantyre Water Board’s banks are not places of business for Blantyre Water Board. Mr Tenthani has not proved any contract with Blantyre Water Board for him to pay at his bank or the Blantyre Water Board</w:t>
      </w:r>
      <w:r w:rsidR="00550831">
        <w:rPr>
          <w:rFonts w:ascii="Times New Roman" w:hAnsi="Times New Roman" w:cs="Times New Roman"/>
          <w:sz w:val="28"/>
          <w:szCs w:val="28"/>
        </w:rPr>
        <w:t xml:space="preserve">’s Bank. </w:t>
      </w:r>
    </w:p>
    <w:p w:rsidR="00550831" w:rsidRDefault="00550831" w:rsidP="001C75D2">
      <w:pPr>
        <w:jc w:val="both"/>
        <w:rPr>
          <w:rFonts w:ascii="Times New Roman" w:hAnsi="Times New Roman" w:cs="Times New Roman"/>
          <w:sz w:val="28"/>
          <w:szCs w:val="28"/>
        </w:rPr>
      </w:pPr>
      <w:r>
        <w:rPr>
          <w:rFonts w:ascii="Times New Roman" w:hAnsi="Times New Roman" w:cs="Times New Roman"/>
          <w:sz w:val="28"/>
          <w:szCs w:val="28"/>
        </w:rPr>
        <w:tab/>
        <w:t xml:space="preserve">The plaintiff’s counsel, without providing evidence for it, argues that Blantyre Water Board had advertised widely for the scheme. That, </w:t>
      </w:r>
      <w:r w:rsidR="005C7041">
        <w:rPr>
          <w:rFonts w:ascii="Times New Roman" w:hAnsi="Times New Roman" w:cs="Times New Roman"/>
          <w:sz w:val="28"/>
          <w:szCs w:val="28"/>
        </w:rPr>
        <w:t>even</w:t>
      </w:r>
      <w:r>
        <w:rPr>
          <w:rFonts w:ascii="Times New Roman" w:hAnsi="Times New Roman" w:cs="Times New Roman"/>
          <w:sz w:val="28"/>
          <w:szCs w:val="28"/>
        </w:rPr>
        <w:t xml:space="preserve"> if there was evidence for it, would not suffice as an agreement between the seller, Blantyre Water Board, and the buyer, Mr Tenthani to oust the general common law obligation for the buyer to pay, if not at the time of delivery, at the place of business of the seller, Blantyre Water Board. That should settle the matter, but, even assuming that </w:t>
      </w:r>
      <w:r w:rsidR="00834E8F">
        <w:rPr>
          <w:rFonts w:ascii="Times New Roman" w:hAnsi="Times New Roman" w:cs="Times New Roman"/>
          <w:sz w:val="28"/>
          <w:szCs w:val="28"/>
        </w:rPr>
        <w:t>payment could be made at the bank, the risk of paying at the bank, in the absence of an agreement, cannot be borne by the seller.</w:t>
      </w:r>
    </w:p>
    <w:p w:rsidR="00834E8F" w:rsidRDefault="00834E8F" w:rsidP="001C75D2">
      <w:pPr>
        <w:jc w:val="both"/>
        <w:rPr>
          <w:rFonts w:ascii="Times New Roman" w:hAnsi="Times New Roman" w:cs="Times New Roman"/>
          <w:sz w:val="28"/>
          <w:szCs w:val="28"/>
        </w:rPr>
      </w:pPr>
      <w:r>
        <w:rPr>
          <w:rFonts w:ascii="Times New Roman" w:hAnsi="Times New Roman" w:cs="Times New Roman"/>
          <w:sz w:val="28"/>
          <w:szCs w:val="28"/>
        </w:rPr>
        <w:tab/>
        <w:t xml:space="preserve">Where, like here, the buyer is in breach of the duty to pay the price, the law, in my judgment cannot be what it is assumed by Mr Tenthani to be, namely, that there is a presumption that there is payment as soon as a buyer pays the bank. This is because such a presumption cannot be made, even if the buyer pays in cash. If the payment is by cheque, the cheque may be referred to drawer or, where, there are different banks, inter banking implies that money may not be in the account on the date of deposit. The seller may then have to </w:t>
      </w:r>
      <w:r w:rsidR="00942F4C">
        <w:rPr>
          <w:rFonts w:ascii="Times New Roman" w:hAnsi="Times New Roman" w:cs="Times New Roman"/>
          <w:sz w:val="28"/>
          <w:szCs w:val="28"/>
        </w:rPr>
        <w:t xml:space="preserve">wait for cheque clearance. The latter problem could arise even where the payment is cash and monies have to be transferred between different banks. In either case, such a payment imposes a duty </w:t>
      </w:r>
      <w:r w:rsidR="00942F4C">
        <w:rPr>
          <w:rFonts w:ascii="Times New Roman" w:hAnsi="Times New Roman" w:cs="Times New Roman"/>
          <w:sz w:val="28"/>
          <w:szCs w:val="28"/>
        </w:rPr>
        <w:lastRenderedPageBreak/>
        <w:t>on the seller to check bank accounts every degree, every second, every minute, every hour, every day, every week, every month, every year! In the absence of clear agreement, the common law is that the buyer, paying the price, must seek the seller at the seller’s place of business.</w:t>
      </w:r>
    </w:p>
    <w:p w:rsidR="00942F4C" w:rsidRDefault="00942F4C" w:rsidP="001C75D2">
      <w:pPr>
        <w:jc w:val="both"/>
        <w:rPr>
          <w:rFonts w:ascii="Times New Roman" w:hAnsi="Times New Roman" w:cs="Times New Roman"/>
          <w:sz w:val="28"/>
          <w:szCs w:val="28"/>
        </w:rPr>
      </w:pPr>
      <w:r>
        <w:rPr>
          <w:rFonts w:ascii="Times New Roman" w:hAnsi="Times New Roman" w:cs="Times New Roman"/>
          <w:sz w:val="28"/>
          <w:szCs w:val="28"/>
        </w:rPr>
        <w:tab/>
        <w:t>Blantyre Water Board was, therefore, entitled all that time to insist that Mr Tenthani pay the water bills and, as long as</w:t>
      </w:r>
      <w:r w:rsidR="007246DA">
        <w:rPr>
          <w:rFonts w:ascii="Times New Roman" w:hAnsi="Times New Roman" w:cs="Times New Roman"/>
          <w:sz w:val="28"/>
          <w:szCs w:val="28"/>
        </w:rPr>
        <w:t xml:space="preserve"> Blantyre Water Board had no proof of payment, entitled to insist that they will not connect the water until they had proof of payment. It is unreasonable to expect that Blantyre Water Board when disconnecting the water at 10:00 o’clock am would have been aware of a payment made at a bank, not proven to be theirs, less than two hours earlier. Mr Tenthani was taking a risk to wait for over two months to pay the water bills. </w:t>
      </w:r>
    </w:p>
    <w:p w:rsidR="0064190E" w:rsidRPr="00BA1DFE" w:rsidRDefault="007246DA" w:rsidP="001C75D2">
      <w:pPr>
        <w:jc w:val="both"/>
        <w:rPr>
          <w:rFonts w:ascii="Times New Roman" w:hAnsi="Times New Roman" w:cs="Times New Roman"/>
          <w:sz w:val="28"/>
          <w:szCs w:val="28"/>
        </w:rPr>
      </w:pPr>
      <w:r>
        <w:rPr>
          <w:rFonts w:ascii="Times New Roman" w:hAnsi="Times New Roman" w:cs="Times New Roman"/>
          <w:sz w:val="28"/>
          <w:szCs w:val="28"/>
        </w:rPr>
        <w:tab/>
      </w:r>
      <w:r w:rsidR="00AE4B92" w:rsidRPr="00BA1DFE">
        <w:rPr>
          <w:rFonts w:ascii="Times New Roman" w:hAnsi="Times New Roman" w:cs="Times New Roman"/>
          <w:sz w:val="28"/>
          <w:szCs w:val="28"/>
        </w:rPr>
        <w:t>I would have looked at the matter differently, probably if Mr. Tenthani, having not informed Blantyre Water Board about the payment, Mr Tenthani, nevertheless, proved that the bank account of Blantyre Water Board was immediately or during that day credited with the payment.  Mr. Tenthani has not done so.  Neither has Mr. Tenthani demonstrated that the payment facility with his bank was at the aegis of or consultation with Blantyre Water Board.  It becomes therefore extremely difficult to think that, Mr. Tenthani be</w:t>
      </w:r>
      <w:r>
        <w:rPr>
          <w:rFonts w:ascii="Times New Roman" w:hAnsi="Times New Roman" w:cs="Times New Roman"/>
          <w:sz w:val="28"/>
          <w:szCs w:val="28"/>
        </w:rPr>
        <w:t xml:space="preserve">ing </w:t>
      </w:r>
      <w:r w:rsidR="00AE4B92" w:rsidRPr="00BA1DFE">
        <w:rPr>
          <w:rFonts w:ascii="Times New Roman" w:hAnsi="Times New Roman" w:cs="Times New Roman"/>
          <w:sz w:val="28"/>
          <w:szCs w:val="28"/>
        </w:rPr>
        <w:t>in arrears for the months of July and August, the Blantyre Water Board entered the premises as trespassers.  Blantyre Water Board was entitled to enter the premises as long as there were still arrears on payment for the utilities and it was not aware of any payment by Mr. Tenthani.</w:t>
      </w:r>
      <w:r w:rsidR="0064190E" w:rsidRPr="00BA1DFE">
        <w:rPr>
          <w:rFonts w:ascii="Times New Roman" w:hAnsi="Times New Roman" w:cs="Times New Roman"/>
          <w:sz w:val="28"/>
          <w:szCs w:val="28"/>
        </w:rPr>
        <w:t xml:space="preserve"> </w:t>
      </w:r>
    </w:p>
    <w:p w:rsidR="007868B6" w:rsidRDefault="0064190E" w:rsidP="001C75D2">
      <w:pPr>
        <w:jc w:val="both"/>
        <w:rPr>
          <w:rFonts w:ascii="Times New Roman" w:hAnsi="Times New Roman" w:cs="Times New Roman"/>
          <w:sz w:val="28"/>
          <w:szCs w:val="28"/>
        </w:rPr>
      </w:pPr>
      <w:r w:rsidRPr="00BA1DFE">
        <w:rPr>
          <w:rFonts w:ascii="Times New Roman" w:hAnsi="Times New Roman" w:cs="Times New Roman"/>
          <w:sz w:val="28"/>
          <w:szCs w:val="28"/>
        </w:rPr>
        <w:tab/>
        <w:t>So long as Blantyre Water Board was legitimately on the premises to enforce payment of arrears, the action for defamation must also fail.  I have always understood it to be that where</w:t>
      </w:r>
      <w:r w:rsidR="00822219">
        <w:rPr>
          <w:rFonts w:ascii="Times New Roman" w:hAnsi="Times New Roman" w:cs="Times New Roman"/>
          <w:sz w:val="28"/>
          <w:szCs w:val="28"/>
        </w:rPr>
        <w:t>, through a representation, by conduct or a statement,</w:t>
      </w:r>
      <w:r w:rsidRPr="00BA1DFE">
        <w:rPr>
          <w:rFonts w:ascii="Times New Roman" w:hAnsi="Times New Roman" w:cs="Times New Roman"/>
          <w:sz w:val="28"/>
          <w:szCs w:val="28"/>
        </w:rPr>
        <w:t xml:space="preserve"> there is a demeaning of one’s reputation or esteem </w:t>
      </w:r>
      <w:r w:rsidR="00822219">
        <w:rPr>
          <w:rFonts w:ascii="Times New Roman" w:hAnsi="Times New Roman" w:cs="Times New Roman"/>
          <w:sz w:val="28"/>
          <w:szCs w:val="28"/>
        </w:rPr>
        <w:t xml:space="preserve">among </w:t>
      </w:r>
      <w:r w:rsidR="007868B6">
        <w:rPr>
          <w:rFonts w:ascii="Times New Roman" w:hAnsi="Times New Roman" w:cs="Times New Roman"/>
          <w:sz w:val="28"/>
          <w:szCs w:val="28"/>
        </w:rPr>
        <w:t xml:space="preserve">fair and right thinking members of one’s community </w:t>
      </w:r>
      <w:r w:rsidR="00822219">
        <w:rPr>
          <w:rFonts w:ascii="Times New Roman" w:hAnsi="Times New Roman" w:cs="Times New Roman"/>
          <w:sz w:val="28"/>
          <w:szCs w:val="28"/>
        </w:rPr>
        <w:t>by a publication to another</w:t>
      </w:r>
      <w:r w:rsidRPr="00BA1DFE">
        <w:rPr>
          <w:rFonts w:ascii="Times New Roman" w:hAnsi="Times New Roman" w:cs="Times New Roman"/>
          <w:sz w:val="28"/>
          <w:szCs w:val="28"/>
        </w:rPr>
        <w:t xml:space="preserve">, there is no defamation where it has been demonstrated that the </w:t>
      </w:r>
      <w:r w:rsidR="00122A34">
        <w:rPr>
          <w:rFonts w:ascii="Times New Roman" w:hAnsi="Times New Roman" w:cs="Times New Roman"/>
          <w:sz w:val="28"/>
          <w:szCs w:val="28"/>
        </w:rPr>
        <w:t xml:space="preserve">defamatory statement </w:t>
      </w:r>
      <w:r w:rsidRPr="00BA1DFE">
        <w:rPr>
          <w:rFonts w:ascii="Times New Roman" w:hAnsi="Times New Roman" w:cs="Times New Roman"/>
          <w:sz w:val="28"/>
          <w:szCs w:val="28"/>
        </w:rPr>
        <w:t xml:space="preserve">was </w:t>
      </w:r>
      <w:r w:rsidR="00122A34">
        <w:rPr>
          <w:rFonts w:ascii="Times New Roman" w:hAnsi="Times New Roman" w:cs="Times New Roman"/>
          <w:sz w:val="28"/>
          <w:szCs w:val="28"/>
        </w:rPr>
        <w:t>true</w:t>
      </w:r>
      <w:r w:rsidR="007868B6">
        <w:rPr>
          <w:rFonts w:ascii="Times New Roman" w:hAnsi="Times New Roman" w:cs="Times New Roman"/>
          <w:sz w:val="28"/>
          <w:szCs w:val="28"/>
        </w:rPr>
        <w:t xml:space="preserve"> (</w:t>
      </w:r>
      <w:r w:rsidR="007868B6">
        <w:rPr>
          <w:rFonts w:ascii="Times New Roman" w:hAnsi="Times New Roman" w:cs="Times New Roman"/>
          <w:i/>
          <w:sz w:val="28"/>
          <w:szCs w:val="28"/>
        </w:rPr>
        <w:t xml:space="preserve">Sims v Stretch </w:t>
      </w:r>
      <w:r w:rsidR="007868B6">
        <w:rPr>
          <w:rFonts w:ascii="Times New Roman" w:hAnsi="Times New Roman" w:cs="Times New Roman"/>
          <w:sz w:val="28"/>
          <w:szCs w:val="28"/>
        </w:rPr>
        <w:t xml:space="preserve">(1936) 52 TLR 671; </w:t>
      </w:r>
      <w:r w:rsidR="007868B6">
        <w:rPr>
          <w:rFonts w:ascii="Times New Roman" w:hAnsi="Times New Roman" w:cs="Times New Roman"/>
          <w:i/>
          <w:sz w:val="28"/>
          <w:szCs w:val="28"/>
        </w:rPr>
        <w:t xml:space="preserve">Phiri v Toyota Malawi Ltd </w:t>
      </w:r>
      <w:r w:rsidR="007868B6">
        <w:rPr>
          <w:rFonts w:ascii="Times New Roman" w:hAnsi="Times New Roman" w:cs="Times New Roman"/>
          <w:sz w:val="28"/>
          <w:szCs w:val="28"/>
        </w:rPr>
        <w:t>(2004) MLR 269</w:t>
      </w:r>
      <w:r w:rsidRPr="00BA1DFE">
        <w:rPr>
          <w:rFonts w:ascii="Times New Roman" w:hAnsi="Times New Roman" w:cs="Times New Roman"/>
          <w:sz w:val="28"/>
          <w:szCs w:val="28"/>
        </w:rPr>
        <w:t xml:space="preserve">. </w:t>
      </w:r>
      <w:r w:rsidR="00122A34">
        <w:rPr>
          <w:rFonts w:ascii="Times New Roman" w:hAnsi="Times New Roman" w:cs="Times New Roman"/>
          <w:sz w:val="28"/>
          <w:szCs w:val="28"/>
        </w:rPr>
        <w:t>One, however, must establish that the representation, by a statement or conduct</w:t>
      </w:r>
      <w:r w:rsidR="007868B6">
        <w:rPr>
          <w:rFonts w:ascii="Times New Roman" w:hAnsi="Times New Roman" w:cs="Times New Roman"/>
          <w:sz w:val="28"/>
          <w:szCs w:val="28"/>
        </w:rPr>
        <w:t>,</w:t>
      </w:r>
      <w:r w:rsidR="00122A34">
        <w:rPr>
          <w:rFonts w:ascii="Times New Roman" w:hAnsi="Times New Roman" w:cs="Times New Roman"/>
          <w:sz w:val="28"/>
          <w:szCs w:val="28"/>
        </w:rPr>
        <w:t xml:space="preserve"> was defamatory. Once a statement is defamatory</w:t>
      </w:r>
      <w:r w:rsidR="00822219">
        <w:rPr>
          <w:rFonts w:ascii="Times New Roman" w:hAnsi="Times New Roman" w:cs="Times New Roman"/>
          <w:sz w:val="28"/>
          <w:szCs w:val="28"/>
        </w:rPr>
        <w:t xml:space="preserve">, the wronged need not establish that the statement is false. Justification is a defence, not an offensive weapon. The law presumes in favour of the wronged that the representation is false and it is the </w:t>
      </w:r>
      <w:r w:rsidR="00822219">
        <w:rPr>
          <w:rFonts w:ascii="Times New Roman" w:hAnsi="Times New Roman" w:cs="Times New Roman"/>
          <w:sz w:val="28"/>
          <w:szCs w:val="28"/>
        </w:rPr>
        <w:lastRenderedPageBreak/>
        <w:t>wrongdoer who must show that it is true (</w:t>
      </w:r>
      <w:r w:rsidR="007868B6">
        <w:rPr>
          <w:rFonts w:ascii="Times New Roman" w:hAnsi="Times New Roman" w:cs="Times New Roman"/>
          <w:i/>
          <w:sz w:val="28"/>
          <w:szCs w:val="28"/>
        </w:rPr>
        <w:t xml:space="preserve">Belt v Laws </w:t>
      </w:r>
      <w:r w:rsidR="007868B6">
        <w:rPr>
          <w:rFonts w:ascii="Times New Roman" w:hAnsi="Times New Roman" w:cs="Times New Roman"/>
          <w:sz w:val="28"/>
          <w:szCs w:val="28"/>
        </w:rPr>
        <w:t xml:space="preserve">(1882) 51 LJQB 361; and </w:t>
      </w:r>
      <w:r w:rsidR="007868B6">
        <w:rPr>
          <w:rFonts w:ascii="Times New Roman" w:hAnsi="Times New Roman" w:cs="Times New Roman"/>
          <w:i/>
          <w:sz w:val="28"/>
          <w:szCs w:val="28"/>
        </w:rPr>
        <w:t xml:space="preserve">Katunga v Auction Holding Ltd </w:t>
      </w:r>
      <w:r w:rsidR="007868B6">
        <w:rPr>
          <w:rFonts w:ascii="Times New Roman" w:hAnsi="Times New Roman" w:cs="Times New Roman"/>
          <w:sz w:val="28"/>
          <w:szCs w:val="28"/>
        </w:rPr>
        <w:t>[2001] MLR 226</w:t>
      </w:r>
      <w:r w:rsidR="00822219">
        <w:rPr>
          <w:rFonts w:ascii="Times New Roman" w:hAnsi="Times New Roman" w:cs="Times New Roman"/>
          <w:sz w:val="28"/>
          <w:szCs w:val="28"/>
        </w:rPr>
        <w:t xml:space="preserve">. </w:t>
      </w:r>
      <w:r w:rsidRPr="00BA1DFE">
        <w:rPr>
          <w:rFonts w:ascii="Times New Roman" w:hAnsi="Times New Roman" w:cs="Times New Roman"/>
          <w:sz w:val="28"/>
          <w:szCs w:val="28"/>
        </w:rPr>
        <w:t>For, indeed, where the misrepresentation</w:t>
      </w:r>
      <w:r w:rsidR="005C7041">
        <w:rPr>
          <w:rFonts w:ascii="Times New Roman" w:hAnsi="Times New Roman" w:cs="Times New Roman"/>
          <w:sz w:val="28"/>
          <w:szCs w:val="28"/>
        </w:rPr>
        <w:t xml:space="preserve">, </w:t>
      </w:r>
      <w:r w:rsidR="005C7041" w:rsidRPr="00BA1DFE">
        <w:rPr>
          <w:rFonts w:ascii="Times New Roman" w:hAnsi="Times New Roman" w:cs="Times New Roman"/>
          <w:sz w:val="28"/>
          <w:szCs w:val="28"/>
        </w:rPr>
        <w:t>by</w:t>
      </w:r>
      <w:r w:rsidR="00822219" w:rsidRPr="00BA1DFE">
        <w:rPr>
          <w:rFonts w:ascii="Times New Roman" w:hAnsi="Times New Roman" w:cs="Times New Roman"/>
          <w:sz w:val="28"/>
          <w:szCs w:val="28"/>
        </w:rPr>
        <w:t xml:space="preserve"> </w:t>
      </w:r>
      <w:r w:rsidRPr="00BA1DFE">
        <w:rPr>
          <w:rFonts w:ascii="Times New Roman" w:hAnsi="Times New Roman" w:cs="Times New Roman"/>
          <w:sz w:val="28"/>
          <w:szCs w:val="28"/>
        </w:rPr>
        <w:t>a statement or conduct is, in fact, true, the pres</w:t>
      </w:r>
      <w:r w:rsidR="005C7041">
        <w:rPr>
          <w:rFonts w:ascii="Times New Roman" w:hAnsi="Times New Roman" w:cs="Times New Roman"/>
          <w:sz w:val="28"/>
          <w:szCs w:val="28"/>
        </w:rPr>
        <w:t>e</w:t>
      </w:r>
      <w:r w:rsidRPr="00BA1DFE">
        <w:rPr>
          <w:rFonts w:ascii="Times New Roman" w:hAnsi="Times New Roman" w:cs="Times New Roman"/>
          <w:sz w:val="28"/>
          <w:szCs w:val="28"/>
        </w:rPr>
        <w:t>nt</w:t>
      </w:r>
      <w:r w:rsidR="005C7041">
        <w:rPr>
          <w:rFonts w:ascii="Times New Roman" w:hAnsi="Times New Roman" w:cs="Times New Roman"/>
          <w:sz w:val="28"/>
          <w:szCs w:val="28"/>
        </w:rPr>
        <w:t>e</w:t>
      </w:r>
      <w:r w:rsidR="00822219">
        <w:rPr>
          <w:rFonts w:ascii="Times New Roman" w:hAnsi="Times New Roman" w:cs="Times New Roman"/>
          <w:sz w:val="28"/>
          <w:szCs w:val="28"/>
        </w:rPr>
        <w:t>r</w:t>
      </w:r>
      <w:r w:rsidRPr="00BA1DFE">
        <w:rPr>
          <w:rFonts w:ascii="Times New Roman" w:hAnsi="Times New Roman" w:cs="Times New Roman"/>
          <w:sz w:val="28"/>
          <w:szCs w:val="28"/>
        </w:rPr>
        <w:t xml:space="preserve"> can argue, properly in my judgment, that there was no demeaning of one’s reputation or esteem</w:t>
      </w:r>
      <w:r w:rsidR="00A1760F">
        <w:rPr>
          <w:rFonts w:ascii="Times New Roman" w:hAnsi="Times New Roman" w:cs="Times New Roman"/>
          <w:sz w:val="28"/>
          <w:szCs w:val="28"/>
        </w:rPr>
        <w:t xml:space="preserve">. </w:t>
      </w:r>
      <w:r w:rsidRPr="00BA1DFE">
        <w:rPr>
          <w:rFonts w:ascii="Times New Roman" w:hAnsi="Times New Roman" w:cs="Times New Roman"/>
          <w:sz w:val="28"/>
          <w:szCs w:val="28"/>
        </w:rPr>
        <w:t xml:space="preserve">There is, in such a case, a defence to the action, popularly styled justification.  </w:t>
      </w:r>
    </w:p>
    <w:p w:rsidR="00402635" w:rsidRPr="00BA1DFE" w:rsidRDefault="007868B6" w:rsidP="001C75D2">
      <w:pPr>
        <w:jc w:val="both"/>
        <w:rPr>
          <w:rFonts w:ascii="Times New Roman" w:hAnsi="Times New Roman" w:cs="Times New Roman"/>
          <w:sz w:val="28"/>
          <w:szCs w:val="28"/>
        </w:rPr>
      </w:pPr>
      <w:r>
        <w:rPr>
          <w:rFonts w:ascii="Times New Roman" w:hAnsi="Times New Roman" w:cs="Times New Roman"/>
          <w:sz w:val="28"/>
          <w:szCs w:val="28"/>
        </w:rPr>
        <w:tab/>
      </w:r>
      <w:r w:rsidR="0064190E" w:rsidRPr="00BA1DFE">
        <w:rPr>
          <w:rFonts w:ascii="Times New Roman" w:hAnsi="Times New Roman" w:cs="Times New Roman"/>
          <w:sz w:val="28"/>
          <w:szCs w:val="28"/>
        </w:rPr>
        <w:t xml:space="preserve">In this particular case, as we have seen, Mr. Tenthani had not paid the July and August water bills.  Blantyre Water Board, therefore, should have entered the premises to disconnect the water supply. </w:t>
      </w:r>
      <w:r w:rsidR="005C7041">
        <w:rPr>
          <w:rFonts w:ascii="Times New Roman" w:hAnsi="Times New Roman" w:cs="Times New Roman"/>
          <w:sz w:val="28"/>
          <w:szCs w:val="28"/>
        </w:rPr>
        <w:t>May be disconnecting one’s water supply, in appropriate circumstances, could be defamatory of one as indicating that one does not pay for water utilities.</w:t>
      </w:r>
      <w:r w:rsidR="0064190E" w:rsidRPr="00BA1DFE">
        <w:rPr>
          <w:rFonts w:ascii="Times New Roman" w:hAnsi="Times New Roman" w:cs="Times New Roman"/>
          <w:sz w:val="28"/>
          <w:szCs w:val="28"/>
        </w:rPr>
        <w:t xml:space="preserve">  </w:t>
      </w:r>
      <w:r w:rsidR="005C7041">
        <w:rPr>
          <w:rFonts w:ascii="Times New Roman" w:hAnsi="Times New Roman" w:cs="Times New Roman"/>
          <w:sz w:val="28"/>
          <w:szCs w:val="28"/>
        </w:rPr>
        <w:t xml:space="preserve">The only problem here, as I understand it, is that the representation was either the opposite, in which case it was not defamatory or, if defamatory, true. </w:t>
      </w:r>
      <w:r w:rsidR="0064190E" w:rsidRPr="00BA1DFE">
        <w:rPr>
          <w:rFonts w:ascii="Times New Roman" w:hAnsi="Times New Roman" w:cs="Times New Roman"/>
          <w:sz w:val="28"/>
          <w:szCs w:val="28"/>
        </w:rPr>
        <w:t>If there was anything, it was that</w:t>
      </w:r>
      <w:r w:rsidR="00780DF8" w:rsidRPr="00BA1DFE">
        <w:rPr>
          <w:rFonts w:ascii="Times New Roman" w:hAnsi="Times New Roman" w:cs="Times New Roman"/>
          <w:sz w:val="28"/>
          <w:szCs w:val="28"/>
        </w:rPr>
        <w:t xml:space="preserve"> the July and September 2012 water bills had not been paid and that is why Blantyre Water Board was on the premises.  I would therefore, not think that Blantyre Water Board is liable for defamation.</w:t>
      </w:r>
    </w:p>
    <w:p w:rsidR="00780DF8" w:rsidRPr="00BA1DFE" w:rsidRDefault="00780DF8" w:rsidP="001C75D2">
      <w:pPr>
        <w:jc w:val="both"/>
        <w:rPr>
          <w:rFonts w:ascii="Times New Roman" w:hAnsi="Times New Roman" w:cs="Times New Roman"/>
          <w:sz w:val="28"/>
          <w:szCs w:val="28"/>
        </w:rPr>
      </w:pPr>
      <w:r w:rsidRPr="00BA1DFE">
        <w:rPr>
          <w:rFonts w:ascii="Times New Roman" w:hAnsi="Times New Roman" w:cs="Times New Roman"/>
          <w:sz w:val="28"/>
          <w:szCs w:val="28"/>
        </w:rPr>
        <w:tab/>
        <w:t xml:space="preserve">As I indicated earlier, the claims for </w:t>
      </w:r>
      <w:r w:rsidR="007246DA">
        <w:rPr>
          <w:rFonts w:ascii="Times New Roman" w:hAnsi="Times New Roman" w:cs="Times New Roman"/>
          <w:sz w:val="28"/>
          <w:szCs w:val="28"/>
        </w:rPr>
        <w:t>inconvenience</w:t>
      </w:r>
      <w:r w:rsidR="007246DA" w:rsidRPr="00BA1DFE">
        <w:rPr>
          <w:rFonts w:ascii="Times New Roman" w:hAnsi="Times New Roman" w:cs="Times New Roman"/>
          <w:sz w:val="28"/>
          <w:szCs w:val="28"/>
        </w:rPr>
        <w:t xml:space="preserve">, </w:t>
      </w:r>
      <w:r w:rsidRPr="00BA1DFE">
        <w:rPr>
          <w:rFonts w:ascii="Times New Roman" w:hAnsi="Times New Roman" w:cs="Times New Roman"/>
          <w:sz w:val="28"/>
          <w:szCs w:val="28"/>
        </w:rPr>
        <w:t xml:space="preserve">albeit grotesquely stated, could be understood </w:t>
      </w:r>
      <w:r w:rsidR="007246DA">
        <w:rPr>
          <w:rFonts w:ascii="Times New Roman" w:hAnsi="Times New Roman" w:cs="Times New Roman"/>
          <w:sz w:val="28"/>
          <w:szCs w:val="28"/>
        </w:rPr>
        <w:t xml:space="preserve">as </w:t>
      </w:r>
      <w:r w:rsidRPr="00BA1DFE">
        <w:rPr>
          <w:rFonts w:ascii="Times New Roman" w:hAnsi="Times New Roman" w:cs="Times New Roman"/>
          <w:sz w:val="28"/>
          <w:szCs w:val="28"/>
        </w:rPr>
        <w:t>claims for nuisance.  Even here, an action would not lie because there is no nuisance, the wrong properly understood, for a person to be on the premises of another, however and whatever the convenience, for an otherwise legitimate cause.</w:t>
      </w:r>
    </w:p>
    <w:p w:rsidR="00780DF8" w:rsidRPr="00BA1DFE" w:rsidRDefault="007246DA" w:rsidP="00780DF8">
      <w:pPr>
        <w:rPr>
          <w:rFonts w:ascii="Times New Roman" w:hAnsi="Times New Roman" w:cs="Times New Roman"/>
          <w:sz w:val="28"/>
          <w:szCs w:val="28"/>
        </w:rPr>
      </w:pPr>
      <w:r>
        <w:rPr>
          <w:rFonts w:ascii="Times New Roman" w:hAnsi="Times New Roman" w:cs="Times New Roman"/>
          <w:sz w:val="28"/>
          <w:szCs w:val="28"/>
        </w:rPr>
        <w:tab/>
      </w:r>
      <w:r w:rsidR="00780DF8" w:rsidRPr="00BA1DFE">
        <w:rPr>
          <w:rFonts w:ascii="Times New Roman" w:hAnsi="Times New Roman" w:cs="Times New Roman"/>
          <w:sz w:val="28"/>
          <w:szCs w:val="28"/>
        </w:rPr>
        <w:t>I would therefore dismiss the action by Mr. Tenthani against Blantyre Water Board with costs to Blantyre Water Board.</w:t>
      </w:r>
    </w:p>
    <w:p w:rsidR="00780DF8" w:rsidRPr="00BA1DFE" w:rsidRDefault="00780DF8" w:rsidP="00780DF8">
      <w:pPr>
        <w:jc w:val="both"/>
        <w:rPr>
          <w:rFonts w:ascii="Times New Roman" w:hAnsi="Times New Roman" w:cs="Times New Roman"/>
          <w:sz w:val="28"/>
          <w:szCs w:val="28"/>
        </w:rPr>
      </w:pPr>
      <w:r w:rsidRPr="00BA1DFE">
        <w:rPr>
          <w:rFonts w:ascii="Times New Roman" w:hAnsi="Times New Roman" w:cs="Times New Roman"/>
          <w:sz w:val="28"/>
          <w:szCs w:val="28"/>
        </w:rPr>
        <w:tab/>
        <w:t>Made this 27</w:t>
      </w:r>
      <w:r w:rsidRPr="00BA1DFE">
        <w:rPr>
          <w:rFonts w:ascii="Times New Roman" w:hAnsi="Times New Roman" w:cs="Times New Roman"/>
          <w:sz w:val="28"/>
          <w:szCs w:val="28"/>
          <w:vertAlign w:val="superscript"/>
        </w:rPr>
        <w:t>th</w:t>
      </w:r>
      <w:r w:rsidRPr="00BA1DFE">
        <w:rPr>
          <w:rFonts w:ascii="Times New Roman" w:hAnsi="Times New Roman" w:cs="Times New Roman"/>
          <w:sz w:val="28"/>
          <w:szCs w:val="28"/>
        </w:rPr>
        <w:t xml:space="preserve"> day of November 2015</w:t>
      </w:r>
    </w:p>
    <w:p w:rsidR="00A1760F" w:rsidRDefault="00A1760F" w:rsidP="00780DF8">
      <w:pPr>
        <w:jc w:val="center"/>
        <w:rPr>
          <w:rFonts w:ascii="Times New Roman" w:hAnsi="Times New Roman" w:cs="Times New Roman"/>
          <w:b/>
          <w:sz w:val="28"/>
          <w:szCs w:val="28"/>
        </w:rPr>
      </w:pPr>
    </w:p>
    <w:p w:rsidR="00A1760F" w:rsidRDefault="00A1760F" w:rsidP="00780DF8">
      <w:pPr>
        <w:jc w:val="center"/>
        <w:rPr>
          <w:rFonts w:ascii="Times New Roman" w:hAnsi="Times New Roman" w:cs="Times New Roman"/>
          <w:b/>
          <w:sz w:val="28"/>
          <w:szCs w:val="28"/>
        </w:rPr>
      </w:pPr>
    </w:p>
    <w:p w:rsidR="00780DF8" w:rsidRPr="00BA1DFE" w:rsidRDefault="00780DF8" w:rsidP="00780DF8">
      <w:pPr>
        <w:jc w:val="center"/>
        <w:rPr>
          <w:rFonts w:ascii="Times New Roman" w:hAnsi="Times New Roman" w:cs="Times New Roman"/>
          <w:b/>
          <w:sz w:val="28"/>
          <w:szCs w:val="28"/>
        </w:rPr>
      </w:pPr>
      <w:r w:rsidRPr="00BA1DFE">
        <w:rPr>
          <w:rFonts w:ascii="Times New Roman" w:hAnsi="Times New Roman" w:cs="Times New Roman"/>
          <w:b/>
          <w:sz w:val="28"/>
          <w:szCs w:val="28"/>
        </w:rPr>
        <w:t>D.F. Mwaungulu</w:t>
      </w:r>
    </w:p>
    <w:p w:rsidR="00780DF8" w:rsidRDefault="00780DF8" w:rsidP="00780DF8">
      <w:pPr>
        <w:jc w:val="center"/>
        <w:rPr>
          <w:rFonts w:ascii="Times New Roman" w:hAnsi="Times New Roman" w:cs="Times New Roman"/>
          <w:b/>
          <w:sz w:val="28"/>
          <w:szCs w:val="28"/>
          <w:u w:val="single"/>
        </w:rPr>
      </w:pPr>
      <w:r w:rsidRPr="00BA1DFE">
        <w:rPr>
          <w:rFonts w:ascii="Times New Roman" w:hAnsi="Times New Roman" w:cs="Times New Roman"/>
          <w:b/>
          <w:sz w:val="28"/>
          <w:szCs w:val="28"/>
          <w:u w:val="single"/>
        </w:rPr>
        <w:t>JUDGE</w:t>
      </w:r>
    </w:p>
    <w:p w:rsidR="00E00566" w:rsidRDefault="00E00566" w:rsidP="00607669">
      <w:pPr>
        <w:rPr>
          <w:rFonts w:ascii="Times New Roman" w:hAnsi="Times New Roman" w:cs="Times New Roman"/>
          <w:b/>
          <w:sz w:val="28"/>
          <w:szCs w:val="28"/>
          <w:u w:val="single"/>
        </w:rPr>
      </w:pPr>
    </w:p>
    <w:p w:rsidR="00607669" w:rsidRDefault="00607669" w:rsidP="00607669">
      <w:pPr>
        <w:rPr>
          <w:rFonts w:ascii="Times New Roman" w:hAnsi="Times New Roman" w:cs="Times New Roman"/>
          <w:b/>
          <w:sz w:val="28"/>
          <w:szCs w:val="28"/>
          <w:u w:val="single"/>
        </w:rPr>
      </w:pPr>
    </w:p>
    <w:p w:rsidR="00E00566" w:rsidRPr="00BA1DFE" w:rsidRDefault="00E00566" w:rsidP="00404BF4">
      <w:pPr>
        <w:rPr>
          <w:rFonts w:ascii="Times New Roman" w:hAnsi="Times New Roman" w:cs="Times New Roman"/>
          <w:b/>
          <w:sz w:val="28"/>
          <w:szCs w:val="28"/>
          <w:u w:val="single"/>
        </w:rPr>
      </w:pPr>
    </w:p>
    <w:sectPr w:rsidR="00E00566" w:rsidRPr="00BA1DFE" w:rsidSect="002016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5B" w:rsidRDefault="0001595B" w:rsidP="00EC2814">
      <w:pPr>
        <w:spacing w:after="0" w:line="240" w:lineRule="auto"/>
      </w:pPr>
      <w:r>
        <w:separator/>
      </w:r>
    </w:p>
  </w:endnote>
  <w:endnote w:type="continuationSeparator" w:id="0">
    <w:p w:rsidR="0001595B" w:rsidRDefault="0001595B" w:rsidP="00EC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914028"/>
      <w:docPartObj>
        <w:docPartGallery w:val="Page Numbers (Bottom of Page)"/>
        <w:docPartUnique/>
      </w:docPartObj>
    </w:sdtPr>
    <w:sdtEndPr/>
    <w:sdtContent>
      <w:p w:rsidR="00122A34" w:rsidRDefault="0001595B">
        <w:pPr>
          <w:pStyle w:val="Footer"/>
          <w:jc w:val="right"/>
        </w:pPr>
        <w:r>
          <w:fldChar w:fldCharType="begin"/>
        </w:r>
        <w:r>
          <w:instrText xml:space="preserve"> PAGE   \* MERGEFORMAT </w:instrText>
        </w:r>
        <w:r>
          <w:fldChar w:fldCharType="separate"/>
        </w:r>
        <w:r w:rsidR="00B9551D">
          <w:rPr>
            <w:noProof/>
          </w:rPr>
          <w:t>1</w:t>
        </w:r>
        <w:r>
          <w:rPr>
            <w:noProof/>
          </w:rPr>
          <w:fldChar w:fldCharType="end"/>
        </w:r>
      </w:p>
    </w:sdtContent>
  </w:sdt>
  <w:p w:rsidR="00122A34" w:rsidRDefault="00122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5B" w:rsidRDefault="0001595B" w:rsidP="00EC2814">
      <w:pPr>
        <w:spacing w:after="0" w:line="240" w:lineRule="auto"/>
      </w:pPr>
      <w:r>
        <w:separator/>
      </w:r>
    </w:p>
  </w:footnote>
  <w:footnote w:type="continuationSeparator" w:id="0">
    <w:p w:rsidR="0001595B" w:rsidRDefault="0001595B" w:rsidP="00EC2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A34" w:rsidRDefault="00122A34">
    <w:pPr>
      <w:pStyle w:val="Header"/>
    </w:pPr>
    <w:r>
      <w:t>Tenthani v Blantyre Water Board</w:t>
    </w:r>
    <w:r>
      <w:tab/>
      <w:t>(2012) Civil Cause No 419 (HC)(PR)</w:t>
    </w:r>
    <w:r>
      <w:tab/>
      <w:t>Mwaungulu 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D2"/>
    <w:rsid w:val="000103E9"/>
    <w:rsid w:val="0001595B"/>
    <w:rsid w:val="000D14C2"/>
    <w:rsid w:val="00122A34"/>
    <w:rsid w:val="00164D5E"/>
    <w:rsid w:val="001A0D7F"/>
    <w:rsid w:val="001A71D6"/>
    <w:rsid w:val="001C75D2"/>
    <w:rsid w:val="00201616"/>
    <w:rsid w:val="002223AC"/>
    <w:rsid w:val="00223BDA"/>
    <w:rsid w:val="0024421C"/>
    <w:rsid w:val="00294F9D"/>
    <w:rsid w:val="002F4DE0"/>
    <w:rsid w:val="003D661C"/>
    <w:rsid w:val="00402635"/>
    <w:rsid w:val="00404BF4"/>
    <w:rsid w:val="004609B4"/>
    <w:rsid w:val="00465AF7"/>
    <w:rsid w:val="00504B98"/>
    <w:rsid w:val="00550831"/>
    <w:rsid w:val="005C7041"/>
    <w:rsid w:val="005E55DF"/>
    <w:rsid w:val="00607669"/>
    <w:rsid w:val="0064190E"/>
    <w:rsid w:val="00666FE9"/>
    <w:rsid w:val="00716C81"/>
    <w:rsid w:val="007246DA"/>
    <w:rsid w:val="00740C9F"/>
    <w:rsid w:val="007619CB"/>
    <w:rsid w:val="00780DF8"/>
    <w:rsid w:val="007868B6"/>
    <w:rsid w:val="007C5C0A"/>
    <w:rsid w:val="007E6B1B"/>
    <w:rsid w:val="0081686F"/>
    <w:rsid w:val="00822219"/>
    <w:rsid w:val="00834E8F"/>
    <w:rsid w:val="008E0913"/>
    <w:rsid w:val="008E3FBD"/>
    <w:rsid w:val="009123C0"/>
    <w:rsid w:val="00942F4C"/>
    <w:rsid w:val="00946609"/>
    <w:rsid w:val="00985DA5"/>
    <w:rsid w:val="00A1760F"/>
    <w:rsid w:val="00A544D0"/>
    <w:rsid w:val="00AE32BF"/>
    <w:rsid w:val="00AE4B92"/>
    <w:rsid w:val="00B13156"/>
    <w:rsid w:val="00B15BAC"/>
    <w:rsid w:val="00B302E9"/>
    <w:rsid w:val="00B90EA5"/>
    <w:rsid w:val="00B9551D"/>
    <w:rsid w:val="00BA1DFE"/>
    <w:rsid w:val="00BE2CF4"/>
    <w:rsid w:val="00C858F9"/>
    <w:rsid w:val="00CB3D2A"/>
    <w:rsid w:val="00E00566"/>
    <w:rsid w:val="00E91D04"/>
    <w:rsid w:val="00EC2814"/>
    <w:rsid w:val="00EE721B"/>
    <w:rsid w:val="00F147AE"/>
    <w:rsid w:val="00F228CC"/>
    <w:rsid w:val="00F56482"/>
    <w:rsid w:val="00F62E1A"/>
    <w:rsid w:val="00F71A91"/>
    <w:rsid w:val="00FB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734ED-04B7-4A2B-A0C2-7A266169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28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2814"/>
  </w:style>
  <w:style w:type="paragraph" w:styleId="Footer">
    <w:name w:val="footer"/>
    <w:basedOn w:val="Normal"/>
    <w:link w:val="FooterChar"/>
    <w:uiPriority w:val="99"/>
    <w:unhideWhenUsed/>
    <w:rsid w:val="00EC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14"/>
  </w:style>
  <w:style w:type="paragraph" w:styleId="BalloonText">
    <w:name w:val="Balloon Text"/>
    <w:basedOn w:val="Normal"/>
    <w:link w:val="BalloonTextChar"/>
    <w:uiPriority w:val="99"/>
    <w:semiHidden/>
    <w:unhideWhenUsed/>
    <w:rsid w:val="00EE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1B"/>
    <w:rPr>
      <w:rFonts w:ascii="Tahoma" w:hAnsi="Tahoma" w:cs="Tahoma"/>
      <w:sz w:val="16"/>
      <w:szCs w:val="16"/>
    </w:rPr>
  </w:style>
  <w:style w:type="paragraph" w:styleId="NormalWeb">
    <w:name w:val="Normal (Web)"/>
    <w:basedOn w:val="Normal"/>
    <w:uiPriority w:val="99"/>
    <w:semiHidden/>
    <w:unhideWhenUsed/>
    <w:rsid w:val="00404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Mwaungulu J</dc:creator>
  <cp:lastModifiedBy>catherine kruyer</cp:lastModifiedBy>
  <cp:revision>2</cp:revision>
  <cp:lastPrinted>2015-12-08T18:13:00Z</cp:lastPrinted>
  <dcterms:created xsi:type="dcterms:W3CDTF">2016-01-06T19:50:00Z</dcterms:created>
  <dcterms:modified xsi:type="dcterms:W3CDTF">2016-01-06T19:50:00Z</dcterms:modified>
</cp:coreProperties>
</file>