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42" w:rsidRPr="00EE0C7D" w:rsidRDefault="007B00B9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EE0C7D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985011</wp:posOffset>
            </wp:positionH>
            <wp:positionV relativeFrom="page">
              <wp:posOffset>9447649</wp:posOffset>
            </wp:positionV>
            <wp:extent cx="1488202" cy="10125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202" cy="101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842" w:rsidRPr="00EE0C7D" w:rsidRDefault="00121842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7B00B9">
      <w:pPr>
        <w:pStyle w:val="BodyText"/>
        <w:ind w:left="4215"/>
        <w:rPr>
          <w:rFonts w:ascii="Arial" w:hAnsi="Arial" w:cs="Arial"/>
          <w:i w:val="0"/>
          <w:sz w:val="22"/>
          <w:szCs w:val="22"/>
        </w:rPr>
      </w:pPr>
      <w:r w:rsidRPr="00EE0C7D">
        <w:rPr>
          <w:rFonts w:ascii="Arial" w:hAnsi="Arial" w:cs="Arial"/>
          <w:i w:val="0"/>
          <w:noProof/>
          <w:sz w:val="22"/>
          <w:szCs w:val="22"/>
          <w:lang w:val="en-ZA" w:eastAsia="en-ZA"/>
        </w:rPr>
        <w:drawing>
          <wp:inline distT="0" distB="0" distL="0" distR="0">
            <wp:extent cx="1258823" cy="8107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3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42" w:rsidRPr="00EE0C7D" w:rsidRDefault="007B00B9">
      <w:pPr>
        <w:spacing w:before="73" w:line="358" w:lineRule="exact"/>
        <w:ind w:left="2824" w:right="2767"/>
        <w:jc w:val="center"/>
        <w:rPr>
          <w:rFonts w:ascii="Arial" w:hAnsi="Arial" w:cs="Arial"/>
          <w:b/>
        </w:rPr>
      </w:pPr>
      <w:r w:rsidRPr="00EE0C7D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5679821</wp:posOffset>
            </wp:positionH>
            <wp:positionV relativeFrom="paragraph">
              <wp:posOffset>-470477</wp:posOffset>
            </wp:positionV>
            <wp:extent cx="1537296" cy="116908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296" cy="116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C7D">
        <w:rPr>
          <w:rFonts w:ascii="Arial" w:hAnsi="Arial" w:cs="Arial"/>
          <w:b/>
        </w:rPr>
        <w:t>JUDICIARY</w:t>
      </w:r>
    </w:p>
    <w:p w:rsidR="00EE0C7D" w:rsidRDefault="007B00B9">
      <w:pPr>
        <w:spacing w:before="10" w:line="326" w:lineRule="exact"/>
        <w:ind w:left="2824" w:right="2776"/>
        <w:jc w:val="center"/>
        <w:rPr>
          <w:rFonts w:ascii="Arial" w:hAnsi="Arial" w:cs="Arial"/>
          <w:b/>
        </w:rPr>
      </w:pPr>
      <w:r w:rsidRPr="00EE0C7D">
        <w:rPr>
          <w:rFonts w:ascii="Arial" w:hAnsi="Arial" w:cs="Arial"/>
          <w:b/>
        </w:rPr>
        <w:t>IN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THE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HIGH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COURT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OF</w:t>
      </w:r>
      <w:r w:rsidRPr="00EE0C7D">
        <w:rPr>
          <w:rFonts w:ascii="Arial" w:hAnsi="Arial" w:cs="Arial"/>
          <w:b/>
        </w:rPr>
        <w:t xml:space="preserve"> </w:t>
      </w:r>
      <w:r w:rsidR="00EE0C7D">
        <w:rPr>
          <w:rFonts w:ascii="Arial" w:hAnsi="Arial" w:cs="Arial"/>
          <w:b/>
        </w:rPr>
        <w:t>MALAWI</w:t>
      </w:r>
    </w:p>
    <w:p w:rsidR="00121842" w:rsidRPr="00EE0C7D" w:rsidRDefault="007B00B9">
      <w:pPr>
        <w:spacing w:before="10" w:line="326" w:lineRule="exact"/>
        <w:ind w:left="2824" w:right="2776"/>
        <w:jc w:val="center"/>
        <w:rPr>
          <w:rFonts w:ascii="Arial" w:hAnsi="Arial" w:cs="Arial"/>
          <w:b/>
        </w:rPr>
      </w:pPr>
      <w:r w:rsidRPr="00EE0C7D">
        <w:rPr>
          <w:rFonts w:ascii="Arial" w:hAnsi="Arial" w:cs="Arial"/>
          <w:b/>
        </w:rPr>
        <w:t>PRINCIPAL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REGISTRY</w:t>
      </w:r>
    </w:p>
    <w:p w:rsidR="00121842" w:rsidRPr="00EE0C7D" w:rsidRDefault="007B00B9">
      <w:pPr>
        <w:spacing w:line="342" w:lineRule="exact"/>
        <w:ind w:left="2151" w:right="2810"/>
        <w:jc w:val="center"/>
        <w:rPr>
          <w:rFonts w:ascii="Arial" w:hAnsi="Arial" w:cs="Arial"/>
          <w:b/>
        </w:rPr>
      </w:pPr>
      <w:r w:rsidRPr="00EE0C7D">
        <w:rPr>
          <w:rFonts w:ascii="Arial" w:hAnsi="Arial" w:cs="Arial"/>
          <w:b/>
        </w:rPr>
        <w:t>CIVIL CAUSE NO. 53 OF 2017</w:t>
      </w:r>
    </w:p>
    <w:p w:rsidR="00121842" w:rsidRPr="00EE0C7D" w:rsidRDefault="007B00B9">
      <w:pPr>
        <w:spacing w:before="175"/>
        <w:ind w:left="2132" w:right="2810"/>
        <w:jc w:val="center"/>
        <w:rPr>
          <w:rFonts w:ascii="Arial" w:hAnsi="Arial" w:cs="Arial"/>
          <w:b/>
        </w:rPr>
      </w:pPr>
      <w:r w:rsidRPr="00EE0C7D">
        <w:rPr>
          <w:rFonts w:ascii="Arial" w:hAnsi="Arial" w:cs="Arial"/>
          <w:b/>
        </w:rPr>
        <w:t>BETWEEN</w:t>
      </w:r>
    </w:p>
    <w:p w:rsidR="00121842" w:rsidRPr="00EE0C7D" w:rsidRDefault="00EE0C7D">
      <w:pPr>
        <w:spacing w:before="173"/>
        <w:ind w:left="1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MULLI BROTHERS </w:t>
      </w:r>
      <w:proofErr w:type="gramStart"/>
      <w:r>
        <w:rPr>
          <w:rFonts w:ascii="Arial" w:hAnsi="Arial" w:cs="Arial"/>
          <w:b/>
        </w:rPr>
        <w:t>LIMITED .................</w:t>
      </w:r>
      <w:r w:rsidR="007B00B9" w:rsidRPr="00EE0C7D">
        <w:rPr>
          <w:rFonts w:ascii="Arial" w:hAnsi="Arial" w:cs="Arial"/>
          <w:b/>
        </w:rPr>
        <w:t>...............................</w:t>
      </w:r>
      <w:proofErr w:type="gramEnd"/>
      <w:r w:rsidR="007B00B9" w:rsidRPr="00EE0C7D">
        <w:rPr>
          <w:rFonts w:ascii="Arial" w:hAnsi="Arial" w:cs="Arial"/>
          <w:b/>
        </w:rPr>
        <w:t xml:space="preserve"> PLAINTIFF</w:t>
      </w:r>
    </w:p>
    <w:p w:rsidR="00121842" w:rsidRPr="00EE0C7D" w:rsidRDefault="007B00B9">
      <w:pPr>
        <w:spacing w:before="177"/>
        <w:ind w:left="2135" w:right="2810"/>
        <w:jc w:val="center"/>
        <w:rPr>
          <w:rFonts w:ascii="Arial" w:hAnsi="Arial" w:cs="Arial"/>
          <w:b/>
        </w:rPr>
      </w:pPr>
      <w:r w:rsidRPr="00EE0C7D">
        <w:rPr>
          <w:rFonts w:ascii="Arial" w:hAnsi="Arial" w:cs="Arial"/>
          <w:b/>
        </w:rPr>
        <w:t>-AND-</w:t>
      </w:r>
    </w:p>
    <w:p w:rsidR="00121842" w:rsidRPr="00EE0C7D" w:rsidRDefault="007B00B9">
      <w:pPr>
        <w:spacing w:before="177"/>
        <w:ind w:left="125"/>
        <w:jc w:val="both"/>
        <w:rPr>
          <w:rFonts w:ascii="Arial" w:hAnsi="Arial" w:cs="Arial"/>
          <w:b/>
        </w:rPr>
      </w:pPr>
      <w:r w:rsidRPr="00EE0C7D">
        <w:rPr>
          <w:rFonts w:ascii="Arial" w:hAnsi="Arial" w:cs="Arial"/>
          <w:b/>
        </w:rPr>
        <w:t xml:space="preserve">FDH </w:t>
      </w:r>
      <w:r w:rsidRPr="00EE0C7D">
        <w:rPr>
          <w:rFonts w:ascii="Arial" w:hAnsi="Arial" w:cs="Arial"/>
          <w:b/>
        </w:rPr>
        <w:t xml:space="preserve">BANK </w:t>
      </w:r>
      <w:proofErr w:type="gramStart"/>
      <w:r w:rsidRPr="00EE0C7D">
        <w:rPr>
          <w:rFonts w:ascii="Arial" w:hAnsi="Arial" w:cs="Arial"/>
          <w:b/>
        </w:rPr>
        <w:t xml:space="preserve">LIMITED </w:t>
      </w:r>
      <w:r w:rsidRPr="00EE0C7D">
        <w:rPr>
          <w:rFonts w:ascii="Arial" w:hAnsi="Arial" w:cs="Arial"/>
          <w:b/>
        </w:rPr>
        <w:t>.....</w:t>
      </w:r>
      <w:r w:rsidRPr="00EE0C7D">
        <w:rPr>
          <w:rFonts w:ascii="Arial" w:hAnsi="Arial" w:cs="Arial"/>
          <w:b/>
        </w:rPr>
        <w:t>......</w:t>
      </w:r>
      <w:r w:rsidRPr="00EE0C7D">
        <w:rPr>
          <w:rFonts w:ascii="Arial" w:hAnsi="Arial" w:cs="Arial"/>
          <w:b/>
        </w:rPr>
        <w:t>........</w:t>
      </w:r>
      <w:r w:rsidRPr="00EE0C7D">
        <w:rPr>
          <w:rFonts w:ascii="Arial" w:hAnsi="Arial" w:cs="Arial"/>
          <w:b/>
        </w:rPr>
        <w:t>.........................................</w:t>
      </w:r>
      <w:proofErr w:type="gramEnd"/>
      <w:r w:rsidRPr="00EE0C7D">
        <w:rPr>
          <w:rFonts w:ascii="Arial" w:hAnsi="Arial" w:cs="Arial"/>
          <w:b/>
        </w:rPr>
        <w:t xml:space="preserve"> DEFENDANT</w:t>
      </w:r>
    </w:p>
    <w:p w:rsidR="00121842" w:rsidRPr="00EE0C7D" w:rsidRDefault="00121842">
      <w:pPr>
        <w:pStyle w:val="BodyText"/>
        <w:spacing w:before="9"/>
        <w:rPr>
          <w:rFonts w:ascii="Arial" w:hAnsi="Arial" w:cs="Arial"/>
          <w:b/>
          <w:i w:val="0"/>
          <w:sz w:val="22"/>
          <w:szCs w:val="22"/>
        </w:rPr>
      </w:pPr>
    </w:p>
    <w:p w:rsidR="00121842" w:rsidRPr="00EE0C7D" w:rsidRDefault="007B00B9">
      <w:pPr>
        <w:spacing w:line="374" w:lineRule="exact"/>
        <w:ind w:left="138"/>
        <w:jc w:val="both"/>
        <w:rPr>
          <w:rFonts w:ascii="Arial" w:hAnsi="Arial" w:cs="Arial"/>
          <w:b/>
        </w:rPr>
      </w:pPr>
      <w:r w:rsidRPr="00EE0C7D">
        <w:rPr>
          <w:rFonts w:ascii="Arial" w:hAnsi="Arial" w:cs="Arial"/>
          <w:b/>
          <w:u w:val="thick" w:color="404040"/>
        </w:rPr>
        <w:t>CORAM:</w:t>
      </w:r>
      <w:r w:rsidRPr="00EE0C7D">
        <w:rPr>
          <w:rFonts w:ascii="Arial" w:hAnsi="Arial" w:cs="Arial"/>
          <w:b/>
          <w:u w:val="thick" w:color="404040"/>
        </w:rPr>
        <w:t xml:space="preserve"> </w:t>
      </w:r>
      <w:r w:rsidRPr="00EE0C7D">
        <w:rPr>
          <w:rFonts w:ascii="Arial" w:hAnsi="Arial" w:cs="Arial"/>
          <w:b/>
        </w:rPr>
        <w:t>THE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HONOURABLE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JUSTICE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KENYATTA</w:t>
      </w:r>
      <w:r w:rsidRPr="00EE0C7D">
        <w:rPr>
          <w:rFonts w:ascii="Arial" w:hAnsi="Arial" w:cs="Arial"/>
          <w:b/>
        </w:rPr>
        <w:t xml:space="preserve"> </w:t>
      </w:r>
      <w:r w:rsidRPr="00EE0C7D">
        <w:rPr>
          <w:rFonts w:ascii="Arial" w:hAnsi="Arial" w:cs="Arial"/>
          <w:b/>
        </w:rPr>
        <w:t>NYIRENDA</w:t>
      </w:r>
    </w:p>
    <w:p w:rsidR="00121842" w:rsidRPr="00EE0C7D" w:rsidRDefault="007B00B9">
      <w:pPr>
        <w:spacing w:line="232" w:lineRule="auto"/>
        <w:ind w:left="137" w:right="4814" w:hanging="5"/>
        <w:rPr>
          <w:rFonts w:ascii="Arial" w:hAnsi="Arial" w:cs="Arial"/>
        </w:rPr>
      </w:pPr>
      <w:r w:rsidRPr="00EE0C7D">
        <w:rPr>
          <w:rFonts w:ascii="Arial" w:hAnsi="Arial" w:cs="Arial"/>
        </w:rPr>
        <w:t>Mr.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C.</w:t>
      </w:r>
      <w:r w:rsidRPr="00EE0C7D">
        <w:rPr>
          <w:rFonts w:ascii="Arial" w:hAnsi="Arial" w:cs="Arial"/>
        </w:rPr>
        <w:t xml:space="preserve"> </w:t>
      </w:r>
      <w:proofErr w:type="spellStart"/>
      <w:r w:rsidRPr="00EE0C7D">
        <w:rPr>
          <w:rFonts w:ascii="Arial" w:hAnsi="Arial" w:cs="Arial"/>
        </w:rPr>
        <w:t>Gondwe</w:t>
      </w:r>
      <w:proofErr w:type="spellEnd"/>
      <w:r w:rsidRPr="00EE0C7D">
        <w:rPr>
          <w:rFonts w:ascii="Arial" w:hAnsi="Arial" w:cs="Arial"/>
        </w:rPr>
        <w:t>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Counsel,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for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Plaintiff </w:t>
      </w:r>
      <w:r w:rsidRPr="00EE0C7D">
        <w:rPr>
          <w:rFonts w:ascii="Arial" w:hAnsi="Arial" w:cs="Arial"/>
        </w:rPr>
        <w:t>Mr.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Kita,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Counsel,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for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Defendant</w:t>
      </w:r>
    </w:p>
    <w:p w:rsidR="00121842" w:rsidRPr="00EE0C7D" w:rsidRDefault="007B00B9">
      <w:pPr>
        <w:spacing w:before="13" w:line="324" w:lineRule="exact"/>
        <w:ind w:left="137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 xml:space="preserve">Mr. 0. </w:t>
      </w:r>
      <w:proofErr w:type="spellStart"/>
      <w:r w:rsidRPr="00EE0C7D">
        <w:rPr>
          <w:rFonts w:ascii="Arial" w:hAnsi="Arial" w:cs="Arial"/>
        </w:rPr>
        <w:t>Chitatu</w:t>
      </w:r>
      <w:proofErr w:type="spellEnd"/>
      <w:r w:rsidRPr="00EE0C7D">
        <w:rPr>
          <w:rFonts w:ascii="Arial" w:hAnsi="Arial" w:cs="Arial"/>
        </w:rPr>
        <w:t>, Court Clerk</w:t>
      </w:r>
    </w:p>
    <w:p w:rsidR="00121842" w:rsidRPr="00EE0C7D" w:rsidRDefault="007B00B9">
      <w:pPr>
        <w:pStyle w:val="BodyText"/>
        <w:spacing w:before="2"/>
        <w:rPr>
          <w:rFonts w:ascii="Arial" w:hAnsi="Arial" w:cs="Arial"/>
          <w:i w:val="0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pict>
          <v:line id="_x0000_s1029" style="position:absolute;z-index:251657728;mso-wrap-distance-left:0;mso-wrap-distance-right:0;mso-position-horizontal-relative:page" from="60.4pt,16.25pt" to="536.85pt,16.25pt" strokecolor="#686868" strokeweight=".25578mm">
            <w10:wrap type="topAndBottom" anchorx="page"/>
          </v:line>
        </w:pict>
      </w:r>
    </w:p>
    <w:p w:rsidR="00121842" w:rsidRPr="00EE0C7D" w:rsidRDefault="007B00B9">
      <w:pPr>
        <w:tabs>
          <w:tab w:val="left" w:pos="4333"/>
          <w:tab w:val="left" w:pos="9641"/>
        </w:tabs>
        <w:spacing w:line="325" w:lineRule="exact"/>
        <w:ind w:left="103"/>
        <w:jc w:val="both"/>
        <w:rPr>
          <w:rFonts w:ascii="Arial" w:hAnsi="Arial" w:cs="Arial"/>
          <w:b/>
        </w:rPr>
      </w:pPr>
      <w:r w:rsidRPr="00EE0C7D">
        <w:rPr>
          <w:rFonts w:ascii="Arial" w:hAnsi="Arial" w:cs="Arial"/>
          <w:u w:val="single" w:color="6B6B6B"/>
        </w:rPr>
        <w:t xml:space="preserve"> </w:t>
      </w:r>
      <w:r w:rsidRPr="00EE0C7D">
        <w:rPr>
          <w:rFonts w:ascii="Arial" w:hAnsi="Arial" w:cs="Arial"/>
          <w:u w:val="single" w:color="6B6B6B"/>
        </w:rPr>
        <w:tab/>
      </w:r>
      <w:r w:rsidRPr="00EE0C7D">
        <w:rPr>
          <w:rFonts w:ascii="Arial" w:hAnsi="Arial" w:cs="Arial"/>
          <w:b/>
          <w:u w:val="single" w:color="6B6B6B"/>
        </w:rPr>
        <w:t>ORDER</w:t>
      </w:r>
      <w:r w:rsidRPr="00EE0C7D">
        <w:rPr>
          <w:rFonts w:ascii="Arial" w:hAnsi="Arial" w:cs="Arial"/>
          <w:b/>
          <w:u w:val="single" w:color="6B6B6B"/>
        </w:rPr>
        <w:tab/>
      </w:r>
    </w:p>
    <w:p w:rsidR="00121842" w:rsidRPr="00EE0C7D" w:rsidRDefault="007B00B9" w:rsidP="00EE0C7D">
      <w:pPr>
        <w:spacing w:line="360" w:lineRule="auto"/>
        <w:ind w:left="127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Kenyatta Nyirenda, J.</w:t>
      </w:r>
    </w:p>
    <w:p w:rsidR="00121842" w:rsidRPr="00EE0C7D" w:rsidRDefault="007B00B9" w:rsidP="00EE0C7D">
      <w:pPr>
        <w:spacing w:before="103" w:line="360" w:lineRule="auto"/>
        <w:ind w:left="137" w:right="762" w:hanging="1"/>
        <w:rPr>
          <w:rFonts w:ascii="Arial" w:hAnsi="Arial" w:cs="Arial"/>
        </w:rPr>
      </w:pPr>
      <w:r w:rsidRPr="00EE0C7D">
        <w:rPr>
          <w:rFonts w:ascii="Arial" w:hAnsi="Arial" w:cs="Arial"/>
        </w:rPr>
        <w:t xml:space="preserve">This is an application by the Defendant for a transfer of this case from this </w:t>
      </w:r>
      <w:r w:rsidRPr="00EE0C7D">
        <w:rPr>
          <w:rFonts w:ascii="Arial" w:hAnsi="Arial" w:cs="Arial"/>
        </w:rPr>
        <w:t>Division to the Commercial Division.</w:t>
      </w:r>
    </w:p>
    <w:p w:rsidR="00121842" w:rsidRPr="00EE0C7D" w:rsidRDefault="007B00B9" w:rsidP="00EE0C7D">
      <w:pPr>
        <w:spacing w:before="195" w:line="360" w:lineRule="auto"/>
        <w:ind w:left="132" w:right="759" w:firstLine="9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background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to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application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simplest.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8</w:t>
      </w:r>
      <w:proofErr w:type="spellStart"/>
      <w:r w:rsidRPr="00EE0C7D">
        <w:rPr>
          <w:rFonts w:ascii="Arial" w:hAnsi="Arial" w:cs="Arial"/>
        </w:rPr>
        <w:t>th</w:t>
      </w:r>
      <w:proofErr w:type="spellEnd"/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February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2017,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 Plaintiff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commenced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action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originating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summons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whereby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seeks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the </w:t>
      </w:r>
      <w:r w:rsidRPr="00EE0C7D">
        <w:rPr>
          <w:rFonts w:ascii="Arial" w:hAnsi="Arial" w:cs="Arial"/>
        </w:rPr>
        <w:t>following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orders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and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declarations:</w:t>
      </w:r>
    </w:p>
    <w:p w:rsidR="00121842" w:rsidRPr="00EE0C7D" w:rsidRDefault="007B00B9" w:rsidP="00EE0C7D">
      <w:pPr>
        <w:pStyle w:val="BodyText"/>
        <w:spacing w:before="205" w:line="276" w:lineRule="auto"/>
        <w:ind w:left="1577" w:right="703" w:hanging="687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</w:t>
      </w:r>
      <w:r w:rsidRPr="00EE0C7D">
        <w:rPr>
          <w:rFonts w:ascii="Arial" w:hAnsi="Arial" w:cs="Arial"/>
          <w:sz w:val="22"/>
          <w:szCs w:val="22"/>
        </w:rPr>
        <w:t>(</w:t>
      </w:r>
      <w:proofErr w:type="gramStart"/>
      <w:r w:rsidRPr="00EE0C7D">
        <w:rPr>
          <w:rFonts w:ascii="Arial" w:hAnsi="Arial" w:cs="Arial"/>
          <w:sz w:val="22"/>
          <w:szCs w:val="22"/>
        </w:rPr>
        <w:t>a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) </w:t>
      </w:r>
      <w:r w:rsidRPr="00EE0C7D">
        <w:rPr>
          <w:rFonts w:ascii="Arial" w:hAnsi="Arial" w:cs="Arial"/>
          <w:sz w:val="22"/>
          <w:szCs w:val="22"/>
        </w:rPr>
        <w:t xml:space="preserve">whether the arrears on the </w:t>
      </w:r>
      <w:proofErr w:type="spellStart"/>
      <w:r w:rsidRPr="00EE0C7D">
        <w:rPr>
          <w:rFonts w:ascii="Arial" w:hAnsi="Arial" w:cs="Arial"/>
          <w:sz w:val="22"/>
          <w:szCs w:val="22"/>
        </w:rPr>
        <w:t>unserviced</w:t>
      </w:r>
      <w:proofErr w:type="spellEnd"/>
      <w:r w:rsidRPr="00EE0C7D">
        <w:rPr>
          <w:rFonts w:ascii="Arial" w:hAnsi="Arial" w:cs="Arial"/>
          <w:sz w:val="22"/>
          <w:szCs w:val="22"/>
        </w:rPr>
        <w:t xml:space="preserve"> accounts secured by a charge Title </w:t>
      </w:r>
      <w:r w:rsidRPr="00EE0C7D">
        <w:rPr>
          <w:rFonts w:ascii="Arial" w:hAnsi="Arial" w:cs="Arial"/>
          <w:sz w:val="22"/>
          <w:szCs w:val="22"/>
        </w:rPr>
        <w:t xml:space="preserve">No. </w:t>
      </w:r>
      <w:r w:rsidRPr="00EE0C7D">
        <w:rPr>
          <w:rFonts w:ascii="Arial" w:hAnsi="Arial" w:cs="Arial"/>
          <w:sz w:val="22"/>
          <w:szCs w:val="22"/>
        </w:rPr>
        <w:t>Blantyre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East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163,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amalgamated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with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loan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Accounts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which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</w:t>
      </w:r>
      <w:r w:rsidRPr="00EE0C7D">
        <w:rPr>
          <w:rFonts w:ascii="Arial" w:hAnsi="Arial" w:cs="Arial"/>
          <w:sz w:val="22"/>
          <w:szCs w:val="22"/>
        </w:rPr>
        <w:t>ere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duly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settled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by </w:t>
      </w:r>
      <w:r w:rsidRPr="00EE0C7D">
        <w:rPr>
          <w:rFonts w:ascii="Arial" w:hAnsi="Arial" w:cs="Arial"/>
          <w:sz w:val="22"/>
          <w:szCs w:val="22"/>
        </w:rPr>
        <w:t xml:space="preserve">the Government as toxic loans secured through various mortgages resulted into </w:t>
      </w:r>
      <w:r w:rsidRPr="00EE0C7D">
        <w:rPr>
          <w:rFonts w:ascii="Arial" w:hAnsi="Arial" w:cs="Arial"/>
          <w:sz w:val="22"/>
          <w:szCs w:val="22"/>
        </w:rPr>
        <w:t>prejudicial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interest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charges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rendering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whole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lending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transaction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harsh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and </w:t>
      </w:r>
      <w:r w:rsidRPr="00EE0C7D">
        <w:rPr>
          <w:rFonts w:ascii="Arial" w:hAnsi="Arial" w:cs="Arial"/>
          <w:sz w:val="22"/>
          <w:szCs w:val="22"/>
        </w:rPr>
        <w:t>unconscionable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envisaged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section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3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Loans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Recovery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Act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(</w:t>
      </w:r>
      <w:r w:rsidRPr="00EE0C7D">
        <w:rPr>
          <w:rFonts w:ascii="Arial" w:hAnsi="Arial" w:cs="Arial"/>
          <w:sz w:val="22"/>
          <w:szCs w:val="22"/>
        </w:rPr>
        <w:t>Cap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6:04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of </w:t>
      </w:r>
      <w:r w:rsidRPr="00EE0C7D">
        <w:rPr>
          <w:rFonts w:ascii="Arial" w:hAnsi="Arial" w:cs="Arial"/>
          <w:sz w:val="22"/>
          <w:szCs w:val="22"/>
        </w:rPr>
        <w:t>the Laws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Malawi).</w:t>
      </w:r>
    </w:p>
    <w:p w:rsidR="00121842" w:rsidRPr="00EE0C7D" w:rsidRDefault="00EE0C7D" w:rsidP="00EE0C7D">
      <w:pPr>
        <w:tabs>
          <w:tab w:val="left" w:pos="1607"/>
        </w:tabs>
        <w:spacing w:before="197" w:line="276" w:lineRule="auto"/>
        <w:ind w:left="1583" w:right="769" w:hanging="596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(b)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i/>
        </w:rPr>
        <w:t>Whether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lending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transaction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re-opened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considering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Defendant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Bank's consolidation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loan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Account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and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toxic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loans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that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were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already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settled</w:t>
      </w:r>
    </w:p>
    <w:p w:rsidR="00121842" w:rsidRPr="00EE0C7D" w:rsidRDefault="00121842" w:rsidP="00EE0C7D">
      <w:pPr>
        <w:spacing w:line="276" w:lineRule="auto"/>
        <w:jc w:val="both"/>
        <w:rPr>
          <w:rFonts w:ascii="Arial" w:hAnsi="Arial" w:cs="Arial"/>
        </w:rPr>
        <w:sectPr w:rsidR="00121842" w:rsidRPr="00EE0C7D">
          <w:headerReference w:type="default" r:id="rId10"/>
          <w:footerReference w:type="default" r:id="rId11"/>
          <w:type w:val="continuous"/>
          <w:pgSz w:w="12240" w:h="16870"/>
          <w:pgMar w:top="780" w:right="760" w:bottom="2900" w:left="1100" w:header="567" w:footer="2718" w:gutter="0"/>
          <w:pgNumType w:start="1"/>
          <w:cols w:space="720"/>
        </w:sectPr>
      </w:pPr>
    </w:p>
    <w:p w:rsidR="00121842" w:rsidRPr="00EE0C7D" w:rsidRDefault="007B00B9" w:rsidP="00EE0C7D">
      <w:pPr>
        <w:pStyle w:val="BodyText"/>
        <w:spacing w:before="267" w:line="276" w:lineRule="auto"/>
        <w:ind w:left="1573" w:hanging="12"/>
        <w:rPr>
          <w:rFonts w:ascii="Arial" w:hAnsi="Arial" w:cs="Arial"/>
          <w:sz w:val="22"/>
          <w:szCs w:val="22"/>
        </w:rPr>
      </w:pPr>
      <w:proofErr w:type="gramStart"/>
      <w:r w:rsidRPr="00EE0C7D">
        <w:rPr>
          <w:rFonts w:ascii="Arial" w:hAnsi="Arial" w:cs="Arial"/>
          <w:sz w:val="22"/>
          <w:szCs w:val="22"/>
        </w:rPr>
        <w:lastRenderedPageBreak/>
        <w:t>implies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 that the Plaintiff incurred more interest charges and expenses and the </w:t>
      </w:r>
      <w:r w:rsidRPr="00EE0C7D">
        <w:rPr>
          <w:rFonts w:ascii="Arial" w:hAnsi="Arial" w:cs="Arial"/>
          <w:sz w:val="22"/>
          <w:szCs w:val="22"/>
        </w:rPr>
        <w:t>same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need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thoroughly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reckoned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credited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Plaint</w:t>
      </w:r>
      <w:r w:rsidRPr="00EE0C7D">
        <w:rPr>
          <w:rFonts w:ascii="Arial" w:hAnsi="Arial" w:cs="Arial"/>
          <w:sz w:val="22"/>
          <w:szCs w:val="22"/>
        </w:rPr>
        <w:t>iff</w:t>
      </w:r>
      <w:r w:rsidRPr="00EE0C7D">
        <w:rPr>
          <w:rFonts w:ascii="Arial" w:hAnsi="Arial" w:cs="Arial"/>
          <w:sz w:val="22"/>
          <w:szCs w:val="22"/>
        </w:rPr>
        <w:t>.</w:t>
      </w:r>
    </w:p>
    <w:p w:rsidR="00121842" w:rsidRPr="00EE0C7D" w:rsidRDefault="00EE0C7D" w:rsidP="00EE0C7D">
      <w:pPr>
        <w:tabs>
          <w:tab w:val="left" w:pos="1589"/>
        </w:tabs>
        <w:spacing w:before="201" w:line="276" w:lineRule="auto"/>
        <w:ind w:left="1558" w:right="129" w:hanging="584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(c)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i/>
        </w:rPr>
        <w:t xml:space="preserve">Whether the charge over Title No. Blantyre </w:t>
      </w:r>
      <w:r w:rsidR="007B00B9" w:rsidRPr="00EE0C7D">
        <w:rPr>
          <w:rFonts w:ascii="Arial" w:hAnsi="Arial" w:cs="Arial"/>
          <w:i/>
        </w:rPr>
        <w:t xml:space="preserve">East </w:t>
      </w:r>
      <w:r w:rsidR="007B00B9" w:rsidRPr="00EE0C7D">
        <w:rPr>
          <w:rFonts w:ascii="Arial" w:hAnsi="Arial" w:cs="Arial"/>
          <w:i/>
        </w:rPr>
        <w:t xml:space="preserve">I63 </w:t>
      </w:r>
      <w:r w:rsidR="007B00B9" w:rsidRPr="00EE0C7D">
        <w:rPr>
          <w:rFonts w:ascii="Arial" w:hAnsi="Arial" w:cs="Arial"/>
          <w:i/>
        </w:rPr>
        <w:t>the liability in respect of which was wrongly amalgamated with duly settled toxic loans was void and therefore incapable of enforcement by way of sale by the Defendant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Bank.</w:t>
      </w:r>
    </w:p>
    <w:p w:rsidR="00121842" w:rsidRPr="00EE0C7D" w:rsidRDefault="00EE0C7D" w:rsidP="00EE0C7D">
      <w:pPr>
        <w:tabs>
          <w:tab w:val="left" w:pos="1584"/>
        </w:tabs>
        <w:spacing w:before="208" w:line="276" w:lineRule="auto"/>
        <w:ind w:left="1549" w:right="123" w:hanging="647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(d)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i/>
        </w:rPr>
        <w:t>Whether the Defendant Bank h</w:t>
      </w:r>
      <w:r w:rsidR="007B00B9" w:rsidRPr="00EE0C7D">
        <w:rPr>
          <w:rFonts w:ascii="Arial" w:hAnsi="Arial" w:cs="Arial"/>
          <w:i/>
        </w:rPr>
        <w:t xml:space="preserve">as complied with section 68 </w:t>
      </w:r>
      <w:r w:rsidR="007B00B9" w:rsidRPr="00EE0C7D">
        <w:rPr>
          <w:rFonts w:ascii="Arial" w:hAnsi="Arial" w:cs="Arial"/>
          <w:i/>
        </w:rPr>
        <w:t xml:space="preserve">of </w:t>
      </w:r>
      <w:r w:rsidR="007B00B9" w:rsidRPr="00EE0C7D">
        <w:rPr>
          <w:rFonts w:ascii="Arial" w:hAnsi="Arial" w:cs="Arial"/>
          <w:i/>
        </w:rPr>
        <w:t xml:space="preserve">the Registered Land Act </w:t>
      </w:r>
      <w:r w:rsidR="007B00B9" w:rsidRPr="00EE0C7D">
        <w:rPr>
          <w:rFonts w:ascii="Arial" w:hAnsi="Arial" w:cs="Arial"/>
          <w:i/>
        </w:rPr>
        <w:t xml:space="preserve">by </w:t>
      </w:r>
      <w:r w:rsidR="007B00B9" w:rsidRPr="00EE0C7D">
        <w:rPr>
          <w:rFonts w:ascii="Arial" w:hAnsi="Arial" w:cs="Arial"/>
          <w:i/>
        </w:rPr>
        <w:t xml:space="preserve">giving a </w:t>
      </w:r>
      <w:r w:rsidR="007B00B9" w:rsidRPr="00EE0C7D">
        <w:rPr>
          <w:rFonts w:ascii="Arial" w:hAnsi="Arial" w:cs="Arial"/>
        </w:rPr>
        <w:t xml:space="preserve">7 </w:t>
      </w:r>
      <w:proofErr w:type="spellStart"/>
      <w:r w:rsidR="007B00B9" w:rsidRPr="00EE0C7D">
        <w:rPr>
          <w:rFonts w:ascii="Arial" w:hAnsi="Arial" w:cs="Arial"/>
          <w:i/>
        </w:rPr>
        <w:t>days Notice</w:t>
      </w:r>
      <w:proofErr w:type="spellEnd"/>
      <w:r w:rsidR="007B00B9" w:rsidRPr="00EE0C7D">
        <w:rPr>
          <w:rFonts w:ascii="Arial" w:hAnsi="Arial" w:cs="Arial"/>
          <w:i/>
        </w:rPr>
        <w:t xml:space="preserve"> instead </w:t>
      </w:r>
      <w:r w:rsidR="007B00B9" w:rsidRPr="00EE0C7D">
        <w:rPr>
          <w:rFonts w:ascii="Arial" w:hAnsi="Arial" w:cs="Arial"/>
          <w:i/>
        </w:rPr>
        <w:t xml:space="preserve">of </w:t>
      </w:r>
      <w:r w:rsidR="007B00B9" w:rsidRPr="00EE0C7D">
        <w:rPr>
          <w:rFonts w:ascii="Arial" w:hAnsi="Arial" w:cs="Arial"/>
          <w:i/>
        </w:rPr>
        <w:t xml:space="preserve">the </w:t>
      </w:r>
      <w:r w:rsidR="007B00B9" w:rsidRPr="00EE0C7D">
        <w:rPr>
          <w:rFonts w:ascii="Arial" w:hAnsi="Arial" w:cs="Arial"/>
          <w:i/>
        </w:rPr>
        <w:t xml:space="preserve">90 </w:t>
      </w:r>
      <w:r w:rsidR="007B00B9" w:rsidRPr="00EE0C7D">
        <w:rPr>
          <w:rFonts w:ascii="Arial" w:hAnsi="Arial" w:cs="Arial"/>
          <w:i/>
        </w:rPr>
        <w:t>day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period.</w:t>
      </w:r>
    </w:p>
    <w:p w:rsidR="00121842" w:rsidRPr="00EE0C7D" w:rsidRDefault="00EE0C7D" w:rsidP="00EE0C7D">
      <w:pPr>
        <w:tabs>
          <w:tab w:val="left" w:pos="1584"/>
        </w:tabs>
        <w:spacing w:line="276" w:lineRule="auto"/>
        <w:ind w:left="1559" w:right="121" w:hanging="590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(e)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i/>
        </w:rPr>
        <w:t xml:space="preserve">Whether a permanent order of injunction be granted herein restraining the </w:t>
      </w:r>
      <w:r w:rsidR="007B00B9" w:rsidRPr="00EE0C7D">
        <w:rPr>
          <w:rFonts w:ascii="Arial" w:hAnsi="Arial" w:cs="Arial"/>
          <w:i/>
        </w:rPr>
        <w:t>Defendant</w:t>
      </w:r>
      <w:r w:rsidR="007B00B9" w:rsidRPr="00EE0C7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Bank </w:t>
      </w:r>
      <w:r w:rsidR="007B00B9" w:rsidRPr="00EE0C7D">
        <w:rPr>
          <w:rFonts w:ascii="Arial" w:hAnsi="Arial" w:cs="Arial"/>
          <w:i/>
        </w:rPr>
        <w:t>from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selling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</w:t>
      </w:r>
      <w:r w:rsidR="007B00B9" w:rsidRPr="00EE0C7D">
        <w:rPr>
          <w:rFonts w:ascii="Arial" w:hAnsi="Arial" w:cs="Arial"/>
          <w:i/>
        </w:rPr>
        <w:t>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Plaintif</w:t>
      </w:r>
      <w:r w:rsidR="007B00B9" w:rsidRPr="00EE0C7D">
        <w:rPr>
          <w:rFonts w:ascii="Arial" w:hAnsi="Arial" w:cs="Arial"/>
          <w:i/>
        </w:rPr>
        <w:t>f'</w:t>
      </w:r>
      <w:r w:rsidR="007B00B9" w:rsidRPr="00EE0C7D">
        <w:rPr>
          <w:rFonts w:ascii="Arial" w:hAnsi="Arial" w:cs="Arial"/>
          <w:i/>
        </w:rPr>
        <w:t>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proper</w:t>
      </w:r>
      <w:r w:rsidR="007B00B9" w:rsidRPr="00EE0C7D">
        <w:rPr>
          <w:rFonts w:ascii="Arial" w:hAnsi="Arial" w:cs="Arial"/>
          <w:i/>
        </w:rPr>
        <w:t>ty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being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Titl</w:t>
      </w:r>
      <w:r w:rsidR="007B00B9" w:rsidRPr="00EE0C7D">
        <w:rPr>
          <w:rFonts w:ascii="Arial" w:hAnsi="Arial" w:cs="Arial"/>
          <w:i/>
        </w:rPr>
        <w:t>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No</w:t>
      </w:r>
      <w:r w:rsidR="007B00B9" w:rsidRPr="00EE0C7D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Blan</w:t>
      </w:r>
      <w:r w:rsidR="007B00B9" w:rsidRPr="00EE0C7D">
        <w:rPr>
          <w:rFonts w:ascii="Arial" w:hAnsi="Arial" w:cs="Arial"/>
          <w:i/>
        </w:rPr>
        <w:t>ty</w:t>
      </w:r>
      <w:r w:rsidR="007B00B9" w:rsidRPr="00EE0C7D">
        <w:rPr>
          <w:rFonts w:ascii="Arial" w:hAnsi="Arial" w:cs="Arial"/>
          <w:i/>
        </w:rPr>
        <w:t>re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 xml:space="preserve">East </w:t>
      </w:r>
      <w:r>
        <w:rPr>
          <w:rFonts w:ascii="Arial" w:hAnsi="Arial" w:cs="Arial"/>
          <w:i/>
        </w:rPr>
        <w:t>1</w:t>
      </w:r>
      <w:r w:rsidR="007B00B9" w:rsidRPr="00EE0C7D">
        <w:rPr>
          <w:rFonts w:ascii="Arial" w:hAnsi="Arial" w:cs="Arial"/>
          <w:i/>
        </w:rPr>
        <w:t>63."</w:t>
      </w:r>
    </w:p>
    <w:p w:rsidR="00121842" w:rsidRPr="00EE0C7D" w:rsidRDefault="007B00B9" w:rsidP="00EE0C7D">
      <w:pPr>
        <w:pStyle w:val="Heading1"/>
        <w:spacing w:before="191" w:line="360" w:lineRule="auto"/>
        <w:ind w:left="119" w:right="114" w:firstLine="9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same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day,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Plaintiff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filed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Ex-parte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Summons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Order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Interim Injunction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restraining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Defendant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from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advertising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sale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and/or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selling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 xml:space="preserve">collateral security being Title No. Blantyre East 163 </w:t>
      </w:r>
      <w:r w:rsidRPr="00EE0C7D">
        <w:rPr>
          <w:rFonts w:ascii="Arial" w:hAnsi="Arial" w:cs="Arial"/>
          <w:sz w:val="22"/>
          <w:szCs w:val="22"/>
        </w:rPr>
        <w:t xml:space="preserve">or </w:t>
      </w:r>
      <w:r w:rsidRPr="00EE0C7D">
        <w:rPr>
          <w:rFonts w:ascii="Arial" w:hAnsi="Arial" w:cs="Arial"/>
          <w:sz w:val="22"/>
          <w:szCs w:val="22"/>
        </w:rPr>
        <w:t xml:space="preserve">interfering with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>Plaintiffs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peaceful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enjoyment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same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up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until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hearing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determination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of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till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further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order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court.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interlocutory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injunction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was </w:t>
      </w:r>
      <w:r w:rsidRPr="00EE0C7D">
        <w:rPr>
          <w:rFonts w:ascii="Arial" w:hAnsi="Arial" w:cs="Arial"/>
          <w:sz w:val="22"/>
          <w:szCs w:val="22"/>
        </w:rPr>
        <w:t>granted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subject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Plaintiff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filing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</w:t>
      </w:r>
      <w:r w:rsidRPr="00EE0C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0C7D">
        <w:rPr>
          <w:rFonts w:ascii="Arial" w:hAnsi="Arial" w:cs="Arial"/>
          <w:sz w:val="22"/>
          <w:szCs w:val="22"/>
        </w:rPr>
        <w:t>inte</w:t>
      </w:r>
      <w:proofErr w:type="spellEnd"/>
      <w:r w:rsidRPr="00EE0C7D">
        <w:rPr>
          <w:rFonts w:ascii="Arial" w:hAnsi="Arial" w:cs="Arial"/>
          <w:sz w:val="22"/>
          <w:szCs w:val="22"/>
        </w:rPr>
        <w:t>-partes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summons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within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7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days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from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="00EE0C7D">
        <w:rPr>
          <w:rFonts w:ascii="Arial" w:hAnsi="Arial" w:cs="Arial"/>
          <w:sz w:val="22"/>
          <w:szCs w:val="22"/>
        </w:rPr>
        <w:t>8</w:t>
      </w:r>
      <w:r w:rsidRPr="00EE0C7D">
        <w:rPr>
          <w:rFonts w:ascii="Arial" w:hAnsi="Arial" w:cs="Arial"/>
          <w:sz w:val="22"/>
          <w:szCs w:val="22"/>
        </w:rPr>
        <w:t xml:space="preserve">th </w:t>
      </w:r>
      <w:r w:rsidRPr="00EE0C7D">
        <w:rPr>
          <w:rFonts w:ascii="Arial" w:hAnsi="Arial" w:cs="Arial"/>
          <w:sz w:val="22"/>
          <w:szCs w:val="22"/>
        </w:rPr>
        <w:t>February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2017.</w:t>
      </w:r>
    </w:p>
    <w:p w:rsidR="00121842" w:rsidRPr="00EE0C7D" w:rsidRDefault="007B00B9" w:rsidP="00EE0C7D">
      <w:pPr>
        <w:spacing w:before="167" w:line="360" w:lineRule="auto"/>
        <w:ind w:left="116" w:right="107" w:firstLine="2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>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24</w:t>
      </w:r>
      <w:proofErr w:type="spellStart"/>
      <w:r w:rsidRPr="00EE0C7D">
        <w:rPr>
          <w:rFonts w:ascii="Arial" w:hAnsi="Arial" w:cs="Arial"/>
        </w:rPr>
        <w:t>th</w:t>
      </w:r>
      <w:proofErr w:type="spellEnd"/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February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2017,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Defendant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filed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with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Court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its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application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for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 transfer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case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to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Commercial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Division.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application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for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transfer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said to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brought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under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section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7D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Courts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Act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read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with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section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6A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(2)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the </w:t>
      </w:r>
      <w:r w:rsidRPr="00EE0C7D">
        <w:rPr>
          <w:rFonts w:ascii="Arial" w:hAnsi="Arial" w:cs="Arial"/>
        </w:rPr>
        <w:t>Courts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(Amendment)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Act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2016.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application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supported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affidavit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sworn by</w:t>
      </w:r>
      <w:r w:rsidRPr="00EE0C7D">
        <w:rPr>
          <w:rFonts w:ascii="Arial" w:hAnsi="Arial" w:cs="Arial"/>
        </w:rPr>
        <w:t xml:space="preserve"> </w:t>
      </w:r>
      <w:proofErr w:type="spellStart"/>
      <w:r w:rsidRPr="00EE0C7D">
        <w:rPr>
          <w:rFonts w:ascii="Arial" w:hAnsi="Arial" w:cs="Arial"/>
        </w:rPr>
        <w:t>Wapona</w:t>
      </w:r>
      <w:proofErr w:type="spellEnd"/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Kita,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proofErr w:type="spellStart"/>
      <w:r w:rsidRPr="00EE0C7D">
        <w:rPr>
          <w:rFonts w:ascii="Arial" w:hAnsi="Arial" w:cs="Arial"/>
        </w:rPr>
        <w:t>Couhsel</w:t>
      </w:r>
      <w:proofErr w:type="spellEnd"/>
      <w:r w:rsidRPr="00EE0C7D">
        <w:rPr>
          <w:rFonts w:ascii="Arial" w:hAnsi="Arial" w:cs="Arial"/>
        </w:rPr>
        <w:t>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Affidavit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brief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and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substantive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part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thereof will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be-quoted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full:</w:t>
      </w:r>
    </w:p>
    <w:p w:rsidR="00121842" w:rsidRPr="00EE0C7D" w:rsidRDefault="007B00B9" w:rsidP="00EE0C7D">
      <w:pPr>
        <w:pStyle w:val="BodyText"/>
        <w:spacing w:before="204" w:line="276" w:lineRule="auto"/>
        <w:ind w:left="1563" w:right="112" w:hanging="686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"3.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b/>
          <w:sz w:val="22"/>
          <w:szCs w:val="22"/>
        </w:rPr>
        <w:t xml:space="preserve">THAT </w:t>
      </w:r>
      <w:r w:rsidRPr="00EE0C7D">
        <w:rPr>
          <w:rFonts w:ascii="Arial" w:hAnsi="Arial" w:cs="Arial"/>
          <w:sz w:val="22"/>
          <w:szCs w:val="22"/>
        </w:rPr>
        <w:t xml:space="preserve">the Plaintiff commenced </w:t>
      </w:r>
      <w:r w:rsidRPr="00EE0C7D">
        <w:rPr>
          <w:rFonts w:ascii="Arial" w:hAnsi="Arial" w:cs="Arial"/>
          <w:sz w:val="22"/>
          <w:szCs w:val="22"/>
        </w:rPr>
        <w:t xml:space="preserve">this </w:t>
      </w:r>
      <w:r w:rsidRPr="00EE0C7D">
        <w:rPr>
          <w:rFonts w:ascii="Arial" w:hAnsi="Arial" w:cs="Arial"/>
          <w:sz w:val="22"/>
          <w:szCs w:val="22"/>
        </w:rPr>
        <w:t>action in the civil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division of the High </w:t>
      </w:r>
      <w:r w:rsidRPr="00EE0C7D">
        <w:rPr>
          <w:rFonts w:ascii="Arial" w:hAnsi="Arial" w:cs="Arial"/>
          <w:sz w:val="22"/>
          <w:szCs w:val="22"/>
        </w:rPr>
        <w:t>Court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by </w:t>
      </w:r>
      <w:r w:rsidRPr="00EE0C7D">
        <w:rPr>
          <w:rFonts w:ascii="Arial" w:hAnsi="Arial" w:cs="Arial"/>
          <w:sz w:val="22"/>
          <w:szCs w:val="22"/>
        </w:rPr>
        <w:t xml:space="preserve">way of an Originating </w:t>
      </w:r>
      <w:r w:rsidRPr="00EE0C7D">
        <w:rPr>
          <w:rFonts w:ascii="Arial" w:hAnsi="Arial" w:cs="Arial"/>
          <w:sz w:val="22"/>
          <w:szCs w:val="22"/>
        </w:rPr>
        <w:t xml:space="preserve">Summons seeking </w:t>
      </w:r>
      <w:r w:rsidRPr="00EE0C7D">
        <w:rPr>
          <w:rFonts w:ascii="Arial" w:hAnsi="Arial" w:cs="Arial"/>
          <w:sz w:val="22"/>
          <w:szCs w:val="22"/>
        </w:rPr>
        <w:t xml:space="preserve">declarations emanating from his commercial relationship </w:t>
      </w:r>
      <w:r w:rsidRPr="00EE0C7D">
        <w:rPr>
          <w:rFonts w:ascii="Arial" w:hAnsi="Arial" w:cs="Arial"/>
          <w:sz w:val="22"/>
          <w:szCs w:val="22"/>
        </w:rPr>
        <w:t xml:space="preserve">with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Defendant.</w:t>
      </w:r>
    </w:p>
    <w:p w:rsidR="00121842" w:rsidRPr="00EE0C7D" w:rsidRDefault="00EE0C7D" w:rsidP="00EE0C7D">
      <w:pPr>
        <w:tabs>
          <w:tab w:val="left" w:pos="1552"/>
        </w:tabs>
        <w:spacing w:line="276" w:lineRule="auto"/>
        <w:ind w:left="1554" w:right="106" w:hanging="710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4.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b/>
          <w:i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it is </w:t>
      </w:r>
      <w:r w:rsidR="007B00B9" w:rsidRPr="00EE0C7D">
        <w:rPr>
          <w:rFonts w:ascii="Arial" w:hAnsi="Arial" w:cs="Arial"/>
          <w:i/>
        </w:rPr>
        <w:t xml:space="preserve">clear </w:t>
      </w:r>
      <w:r w:rsidR="007B00B9" w:rsidRPr="00EE0C7D">
        <w:rPr>
          <w:rFonts w:ascii="Arial" w:hAnsi="Arial" w:cs="Arial"/>
          <w:i/>
        </w:rPr>
        <w:t xml:space="preserve">from the affidavit in </w:t>
      </w:r>
      <w:r w:rsidR="007B00B9" w:rsidRPr="00EE0C7D">
        <w:rPr>
          <w:rFonts w:ascii="Arial" w:hAnsi="Arial" w:cs="Arial"/>
          <w:i/>
        </w:rPr>
        <w:t xml:space="preserve">support </w:t>
      </w:r>
      <w:r w:rsidR="007B00B9" w:rsidRPr="00EE0C7D">
        <w:rPr>
          <w:rFonts w:ascii="Arial" w:hAnsi="Arial" w:cs="Arial"/>
          <w:i/>
        </w:rPr>
        <w:t xml:space="preserve">that the plaintiff's </w:t>
      </w:r>
      <w:r w:rsidR="007B00B9" w:rsidRPr="00EE0C7D">
        <w:rPr>
          <w:rFonts w:ascii="Arial" w:hAnsi="Arial" w:cs="Arial"/>
          <w:i/>
        </w:rPr>
        <w:t>action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is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based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 xml:space="preserve">on the decision </w:t>
      </w:r>
      <w:r w:rsidR="007B00B9" w:rsidRPr="00EE0C7D">
        <w:rPr>
          <w:rFonts w:ascii="Arial" w:hAnsi="Arial" w:cs="Arial"/>
          <w:i/>
        </w:rPr>
        <w:t xml:space="preserve">by </w:t>
      </w:r>
      <w:r w:rsidR="007B00B9" w:rsidRPr="00EE0C7D">
        <w:rPr>
          <w:rFonts w:ascii="Arial" w:hAnsi="Arial" w:cs="Arial"/>
          <w:i/>
        </w:rPr>
        <w:t xml:space="preserve">the Defendant to put on sale Title No: Blantyre East I 63 which was pledged </w:t>
      </w:r>
      <w:r w:rsidR="007B00B9" w:rsidRPr="00EE0C7D">
        <w:rPr>
          <w:rFonts w:ascii="Arial" w:hAnsi="Arial" w:cs="Arial"/>
          <w:i/>
        </w:rPr>
        <w:t xml:space="preserve">as </w:t>
      </w:r>
      <w:r w:rsidR="007B00B9" w:rsidRPr="00EE0C7D">
        <w:rPr>
          <w:rFonts w:ascii="Arial" w:hAnsi="Arial" w:cs="Arial"/>
          <w:i/>
        </w:rPr>
        <w:t xml:space="preserve">security for the repayment </w:t>
      </w:r>
      <w:r w:rsidR="007B00B9" w:rsidRPr="00EE0C7D">
        <w:rPr>
          <w:rFonts w:ascii="Arial" w:hAnsi="Arial" w:cs="Arial"/>
          <w:i/>
        </w:rPr>
        <w:t xml:space="preserve">of </w:t>
      </w:r>
      <w:r w:rsidR="007B00B9" w:rsidRPr="00EE0C7D">
        <w:rPr>
          <w:rFonts w:ascii="Arial" w:hAnsi="Arial" w:cs="Arial"/>
          <w:i/>
        </w:rPr>
        <w:t xml:space="preserve">the loan of K90, 000, 000.00 </w:t>
      </w:r>
      <w:r>
        <w:rPr>
          <w:rFonts w:ascii="Arial" w:hAnsi="Arial" w:cs="Arial"/>
          <w:i/>
        </w:rPr>
        <w:t xml:space="preserve">that the Plaintiff had obtained </w:t>
      </w:r>
      <w:r w:rsidR="007B00B9" w:rsidRPr="00EE0C7D">
        <w:rPr>
          <w:rFonts w:ascii="Arial" w:hAnsi="Arial" w:cs="Arial"/>
          <w:i/>
        </w:rPr>
        <w:t>from the Defendant's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bank.</w:t>
      </w:r>
    </w:p>
    <w:p w:rsidR="00121842" w:rsidRPr="00EE0C7D" w:rsidRDefault="00EE0C7D" w:rsidP="00EE0C7D">
      <w:pPr>
        <w:tabs>
          <w:tab w:val="left" w:pos="1557"/>
        </w:tabs>
        <w:spacing w:before="197" w:line="276" w:lineRule="auto"/>
        <w:ind w:left="1553" w:right="109" w:hanging="714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5.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b/>
          <w:i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by </w:t>
      </w:r>
      <w:r w:rsidR="007B00B9" w:rsidRPr="00EE0C7D">
        <w:rPr>
          <w:rFonts w:ascii="Arial" w:hAnsi="Arial" w:cs="Arial"/>
          <w:i/>
        </w:rPr>
        <w:t xml:space="preserve">the reason </w:t>
      </w:r>
      <w:r w:rsidR="007B00B9" w:rsidRPr="00EE0C7D">
        <w:rPr>
          <w:rFonts w:ascii="Arial" w:hAnsi="Arial" w:cs="Arial"/>
          <w:i/>
        </w:rPr>
        <w:t xml:space="preserve">of </w:t>
      </w:r>
      <w:r w:rsidR="007B00B9" w:rsidRPr="00EE0C7D">
        <w:rPr>
          <w:rFonts w:ascii="Arial" w:hAnsi="Arial" w:cs="Arial"/>
          <w:i/>
        </w:rPr>
        <w:t xml:space="preserve">the matters aforesaid, this is matter that ought to be handled in the commercial court division and there is no basis that it should </w:t>
      </w:r>
      <w:r w:rsidR="007B00B9" w:rsidRPr="00EE0C7D">
        <w:rPr>
          <w:rFonts w:ascii="Arial" w:hAnsi="Arial" w:cs="Arial"/>
          <w:i/>
        </w:rPr>
        <w:t xml:space="preserve">be </w:t>
      </w:r>
      <w:r w:rsidR="007B00B9" w:rsidRPr="00EE0C7D">
        <w:rPr>
          <w:rFonts w:ascii="Arial" w:hAnsi="Arial" w:cs="Arial"/>
          <w:i/>
        </w:rPr>
        <w:t xml:space="preserve">continued in </w:t>
      </w:r>
      <w:r w:rsidR="007B00B9" w:rsidRPr="00EE0C7D">
        <w:rPr>
          <w:rFonts w:ascii="Arial" w:hAnsi="Arial" w:cs="Arial"/>
          <w:i/>
        </w:rPr>
        <w:t>this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Court.</w:t>
      </w:r>
    </w:p>
    <w:p w:rsidR="00121842" w:rsidRPr="00EE0C7D" w:rsidRDefault="00EE0C7D" w:rsidP="00EE0C7D">
      <w:pPr>
        <w:tabs>
          <w:tab w:val="left" w:pos="1584"/>
        </w:tabs>
        <w:spacing w:before="192" w:line="276" w:lineRule="auto"/>
        <w:ind w:left="1567" w:right="112" w:hanging="718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6.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b/>
          <w:i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it is against this background that the Defendant prays to the Court </w:t>
      </w:r>
      <w:r w:rsidR="007B00B9" w:rsidRPr="00EE0C7D">
        <w:rPr>
          <w:rFonts w:ascii="Arial" w:hAnsi="Arial" w:cs="Arial"/>
          <w:i/>
        </w:rPr>
        <w:t xml:space="preserve">to </w:t>
      </w:r>
      <w:r w:rsidR="007B00B9" w:rsidRPr="00EE0C7D">
        <w:rPr>
          <w:rFonts w:ascii="Arial" w:hAnsi="Arial" w:cs="Arial"/>
          <w:i/>
        </w:rPr>
        <w:t xml:space="preserve">transfer </w:t>
      </w:r>
      <w:r w:rsidR="007B00B9" w:rsidRPr="00EE0C7D">
        <w:rPr>
          <w:rFonts w:ascii="Arial" w:hAnsi="Arial" w:cs="Arial"/>
          <w:i/>
        </w:rPr>
        <w:t xml:space="preserve">this </w:t>
      </w:r>
      <w:r w:rsidR="007B00B9" w:rsidRPr="00EE0C7D">
        <w:rPr>
          <w:rFonts w:ascii="Arial" w:hAnsi="Arial" w:cs="Arial"/>
          <w:i/>
        </w:rPr>
        <w:t>actio</w:t>
      </w:r>
      <w:r w:rsidR="007B00B9" w:rsidRPr="00EE0C7D">
        <w:rPr>
          <w:rFonts w:ascii="Arial" w:hAnsi="Arial" w:cs="Arial"/>
          <w:i/>
        </w:rPr>
        <w:t xml:space="preserve">n to </w:t>
      </w:r>
      <w:r w:rsidR="007B00B9" w:rsidRPr="00EE0C7D">
        <w:rPr>
          <w:rFonts w:ascii="Arial" w:hAnsi="Arial" w:cs="Arial"/>
          <w:i/>
        </w:rPr>
        <w:t xml:space="preserve">the </w:t>
      </w:r>
      <w:r w:rsidR="007B00B9" w:rsidRPr="00EE0C7D">
        <w:rPr>
          <w:rFonts w:ascii="Arial" w:hAnsi="Arial" w:cs="Arial"/>
          <w:i/>
        </w:rPr>
        <w:t xml:space="preserve">Commercial Division of </w:t>
      </w:r>
      <w:r w:rsidR="007B00B9" w:rsidRPr="00EE0C7D">
        <w:rPr>
          <w:rFonts w:ascii="Arial" w:hAnsi="Arial" w:cs="Arial"/>
          <w:i/>
        </w:rPr>
        <w:t>the High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Court.</w:t>
      </w:r>
    </w:p>
    <w:p w:rsidR="00121842" w:rsidRPr="00EE0C7D" w:rsidRDefault="00121842" w:rsidP="00EE0C7D">
      <w:pPr>
        <w:spacing w:line="360" w:lineRule="auto"/>
        <w:jc w:val="both"/>
        <w:rPr>
          <w:rFonts w:ascii="Arial" w:hAnsi="Arial" w:cs="Arial"/>
        </w:rPr>
        <w:sectPr w:rsidR="00121842" w:rsidRPr="00EE0C7D">
          <w:pgSz w:w="12240" w:h="16870"/>
          <w:pgMar w:top="780" w:right="1200" w:bottom="2980" w:left="1340" w:header="567" w:footer="2718" w:gutter="0"/>
          <w:cols w:space="720"/>
        </w:sectPr>
      </w:pPr>
    </w:p>
    <w:p w:rsidR="00121842" w:rsidRPr="00EE0C7D" w:rsidRDefault="00EE0C7D" w:rsidP="00EE0C7D">
      <w:pPr>
        <w:tabs>
          <w:tab w:val="left" w:pos="1552"/>
        </w:tabs>
        <w:spacing w:before="143" w:line="276" w:lineRule="auto"/>
        <w:ind w:left="1560" w:right="151" w:hanging="692"/>
        <w:jc w:val="both"/>
        <w:rPr>
          <w:rFonts w:ascii="Arial" w:hAnsi="Arial" w:cs="Arial"/>
        </w:rPr>
      </w:pPr>
      <w:r w:rsidRPr="00EE0C7D">
        <w:rPr>
          <w:rFonts w:ascii="Arial" w:hAnsi="Arial" w:cs="Arial"/>
          <w:i/>
        </w:rPr>
        <w:lastRenderedPageBreak/>
        <w:t>7.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b/>
          <w:i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since the Plaintiff's legal practitioners ought to have known that </w:t>
      </w:r>
      <w:r w:rsidR="007B00B9" w:rsidRPr="00EE0C7D">
        <w:rPr>
          <w:rFonts w:ascii="Arial" w:hAnsi="Arial" w:cs="Arial"/>
          <w:i/>
        </w:rPr>
        <w:t xml:space="preserve">this </w:t>
      </w:r>
      <w:r w:rsidR="007B00B9" w:rsidRPr="00EE0C7D">
        <w:rPr>
          <w:rFonts w:ascii="Arial" w:hAnsi="Arial" w:cs="Arial"/>
          <w:i/>
        </w:rPr>
        <w:t xml:space="preserve">is a matter </w:t>
      </w:r>
      <w:r w:rsidR="007B00B9" w:rsidRPr="00EE0C7D">
        <w:rPr>
          <w:rFonts w:ascii="Arial" w:hAnsi="Arial" w:cs="Arial"/>
          <w:i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ought </w:t>
      </w:r>
      <w:r w:rsidR="007B00B9" w:rsidRPr="00EE0C7D">
        <w:rPr>
          <w:rFonts w:ascii="Arial" w:hAnsi="Arial" w:cs="Arial"/>
          <w:i/>
        </w:rPr>
        <w:t xml:space="preserve">to have </w:t>
      </w:r>
      <w:r w:rsidR="007B00B9" w:rsidRPr="00EE0C7D">
        <w:rPr>
          <w:rFonts w:ascii="Arial" w:hAnsi="Arial" w:cs="Arial"/>
          <w:i/>
        </w:rPr>
        <w:t>been commenced in the Commercial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Division,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 xml:space="preserve">they should </w:t>
      </w:r>
      <w:r w:rsidR="007B00B9" w:rsidRPr="00EE0C7D">
        <w:rPr>
          <w:rFonts w:ascii="Arial" w:hAnsi="Arial" w:cs="Arial"/>
          <w:i/>
        </w:rPr>
        <w:t xml:space="preserve">be </w:t>
      </w:r>
      <w:r w:rsidR="007B00B9" w:rsidRPr="00EE0C7D">
        <w:rPr>
          <w:rFonts w:ascii="Arial" w:hAnsi="Arial" w:cs="Arial"/>
          <w:i/>
        </w:rPr>
        <w:t xml:space="preserve">condemned to pay costs occasioned by </w:t>
      </w:r>
      <w:r w:rsidR="007B00B9" w:rsidRPr="00EE0C7D">
        <w:rPr>
          <w:rFonts w:ascii="Arial" w:hAnsi="Arial" w:cs="Arial"/>
          <w:i/>
        </w:rPr>
        <w:t xml:space="preserve">this </w:t>
      </w:r>
      <w:r w:rsidR="007B00B9" w:rsidRPr="00EE0C7D">
        <w:rPr>
          <w:rFonts w:ascii="Arial" w:hAnsi="Arial" w:cs="Arial"/>
          <w:i/>
        </w:rPr>
        <w:t xml:space="preserve">application and </w:t>
      </w:r>
      <w:r w:rsidR="007B00B9" w:rsidRPr="00EE0C7D">
        <w:rPr>
          <w:rFonts w:ascii="Arial" w:hAnsi="Arial" w:cs="Arial"/>
          <w:i/>
        </w:rPr>
        <w:t xml:space="preserve">filing </w:t>
      </w:r>
      <w:r w:rsidR="007B00B9" w:rsidRPr="00EE0C7D">
        <w:rPr>
          <w:rFonts w:ascii="Arial" w:hAnsi="Arial" w:cs="Arial"/>
          <w:i/>
        </w:rPr>
        <w:t xml:space="preserve">the action </w:t>
      </w:r>
      <w:r w:rsidR="007B00B9" w:rsidRPr="00EE0C7D">
        <w:rPr>
          <w:rFonts w:ascii="Arial" w:hAnsi="Arial" w:cs="Arial"/>
          <w:i/>
        </w:rPr>
        <w:t xml:space="preserve">on </w:t>
      </w:r>
      <w:r w:rsidR="007B00B9" w:rsidRPr="00EE0C7D">
        <w:rPr>
          <w:rFonts w:ascii="Arial" w:hAnsi="Arial" w:cs="Arial"/>
          <w:i/>
        </w:rPr>
        <w:t xml:space="preserve">the Commercial Division as provided under section </w:t>
      </w:r>
      <w:r w:rsidR="007B00B9" w:rsidRPr="00EE0C7D">
        <w:rPr>
          <w:rFonts w:ascii="Arial" w:hAnsi="Arial" w:cs="Arial"/>
          <w:i/>
        </w:rPr>
        <w:t xml:space="preserve">6A </w:t>
      </w:r>
      <w:r w:rsidR="007B00B9" w:rsidRPr="00EE0C7D">
        <w:rPr>
          <w:rFonts w:ascii="Arial" w:hAnsi="Arial" w:cs="Arial"/>
          <w:i/>
        </w:rPr>
        <w:t xml:space="preserve">(2) (3) </w:t>
      </w:r>
      <w:r w:rsidR="007B00B9" w:rsidRPr="00EE0C7D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 xml:space="preserve">the </w:t>
      </w:r>
      <w:r w:rsidR="007B00B9" w:rsidRPr="00EE0C7D">
        <w:rPr>
          <w:rFonts w:ascii="Arial" w:hAnsi="Arial" w:cs="Arial"/>
          <w:i/>
        </w:rPr>
        <w:t xml:space="preserve">Courts (Amendment) Act </w:t>
      </w:r>
      <w:r w:rsidR="007B00B9" w:rsidRPr="00EE0C7D">
        <w:rPr>
          <w:rFonts w:ascii="Arial" w:hAnsi="Arial" w:cs="Arial"/>
          <w:i/>
        </w:rPr>
        <w:t xml:space="preserve">of </w:t>
      </w:r>
      <w:r w:rsidR="007B00B9" w:rsidRPr="00EE0C7D">
        <w:rPr>
          <w:rFonts w:ascii="Arial" w:hAnsi="Arial" w:cs="Arial"/>
          <w:i/>
        </w:rPr>
        <w:t xml:space="preserve">2016 </w:t>
      </w:r>
      <w:r w:rsidR="007B00B9" w:rsidRPr="00EE0C7D">
        <w:rPr>
          <w:rFonts w:ascii="Arial" w:hAnsi="Arial" w:cs="Arial"/>
          <w:i/>
        </w:rPr>
        <w:t>and more importantly the Court should order that the matter be transferred an</w:t>
      </w:r>
      <w:r w:rsidR="007B00B9" w:rsidRPr="00EE0C7D">
        <w:rPr>
          <w:rFonts w:ascii="Arial" w:hAnsi="Arial" w:cs="Arial"/>
          <w:i/>
        </w:rPr>
        <w:t xml:space="preserve">d filed </w:t>
      </w:r>
      <w:r w:rsidR="007B00B9" w:rsidRPr="00EE0C7D">
        <w:rPr>
          <w:rFonts w:ascii="Arial" w:hAnsi="Arial" w:cs="Arial"/>
          <w:i/>
        </w:rPr>
        <w:t xml:space="preserve">by </w:t>
      </w:r>
      <w:r w:rsidR="007B00B9" w:rsidRPr="00EE0C7D">
        <w:rPr>
          <w:rFonts w:ascii="Arial" w:hAnsi="Arial" w:cs="Arial"/>
          <w:i/>
        </w:rPr>
        <w:t>the Plaintiff in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Commercial</w:t>
      </w:r>
      <w:r>
        <w:rPr>
          <w:rFonts w:ascii="Arial" w:hAnsi="Arial" w:cs="Arial"/>
          <w:i/>
        </w:rPr>
        <w:t xml:space="preserve"> Division within 48 hours </w:t>
      </w:r>
      <w:r w:rsidR="007B00B9" w:rsidRPr="00EE0C7D">
        <w:rPr>
          <w:rFonts w:ascii="Arial" w:hAnsi="Arial" w:cs="Arial"/>
          <w:i/>
        </w:rPr>
        <w:t>from the date of making the order.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</w:rPr>
        <w:t>"</w:t>
      </w:r>
    </w:p>
    <w:p w:rsidR="00121842" w:rsidRPr="00EE0C7D" w:rsidRDefault="007B00B9" w:rsidP="00EE0C7D">
      <w:pPr>
        <w:pStyle w:val="Heading2"/>
        <w:spacing w:before="158" w:line="360" w:lineRule="auto"/>
        <w:ind w:left="122" w:right="161" w:firstLine="4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application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transfer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case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heavily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contested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Plaintiff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an Affidavit in Opposition, sworn </w:t>
      </w:r>
      <w:r w:rsidRPr="00EE0C7D">
        <w:rPr>
          <w:rFonts w:ascii="Arial" w:hAnsi="Arial" w:cs="Arial"/>
          <w:sz w:val="22"/>
          <w:szCs w:val="22"/>
        </w:rPr>
        <w:t xml:space="preserve">by </w:t>
      </w:r>
      <w:r w:rsidRPr="00EE0C7D">
        <w:rPr>
          <w:rFonts w:ascii="Arial" w:hAnsi="Arial" w:cs="Arial"/>
          <w:sz w:val="22"/>
          <w:szCs w:val="22"/>
        </w:rPr>
        <w:t xml:space="preserve">Chancy </w:t>
      </w:r>
      <w:proofErr w:type="spellStart"/>
      <w:r w:rsidRPr="00EE0C7D">
        <w:rPr>
          <w:rFonts w:ascii="Arial" w:hAnsi="Arial" w:cs="Arial"/>
          <w:sz w:val="22"/>
          <w:szCs w:val="22"/>
        </w:rPr>
        <w:t>Gondwe</w:t>
      </w:r>
      <w:proofErr w:type="spellEnd"/>
      <w:r w:rsidRPr="00EE0C7D">
        <w:rPr>
          <w:rFonts w:ascii="Arial" w:hAnsi="Arial" w:cs="Arial"/>
          <w:sz w:val="22"/>
          <w:szCs w:val="22"/>
        </w:rPr>
        <w:t xml:space="preserve">, of Counsel, was filed </w:t>
      </w:r>
      <w:r w:rsidRPr="00EE0C7D">
        <w:rPr>
          <w:rFonts w:ascii="Arial" w:hAnsi="Arial" w:cs="Arial"/>
          <w:sz w:val="22"/>
          <w:szCs w:val="22"/>
        </w:rPr>
        <w:t>to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that effect.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purposes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parity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treatment,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will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also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set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out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full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substantive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part 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Affidavit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Opposition.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reads:</w:t>
      </w:r>
    </w:p>
    <w:p w:rsidR="00121842" w:rsidRPr="00EE0C7D" w:rsidRDefault="007B00B9" w:rsidP="00EE0C7D">
      <w:pPr>
        <w:pStyle w:val="BodyText"/>
        <w:spacing w:before="266" w:line="360" w:lineRule="auto"/>
        <w:ind w:left="1552" w:right="98" w:hanging="675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"3.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b/>
          <w:sz w:val="22"/>
          <w:szCs w:val="22"/>
          <w:u w:val="single" w:color="404040"/>
        </w:rPr>
        <w:t xml:space="preserve">THAT </w:t>
      </w:r>
      <w:r w:rsidRPr="00EE0C7D">
        <w:rPr>
          <w:rFonts w:ascii="Arial" w:hAnsi="Arial" w:cs="Arial"/>
          <w:sz w:val="22"/>
          <w:szCs w:val="22"/>
        </w:rPr>
        <w:t xml:space="preserve">the matter herein was commenced here at the Principal Registry because </w:t>
      </w:r>
      <w:r w:rsidRPr="00EE0C7D">
        <w:rPr>
          <w:rFonts w:ascii="Arial" w:hAnsi="Arial" w:cs="Arial"/>
          <w:sz w:val="22"/>
          <w:szCs w:val="22"/>
        </w:rPr>
        <w:t xml:space="preserve">the Application that accompanied the Originating Summons was an urgent interim relief and that the motion judge of the Commercial Division was not readily available to handle it at the </w:t>
      </w:r>
      <w:r w:rsidRPr="00EE0C7D">
        <w:rPr>
          <w:rFonts w:ascii="Arial" w:hAnsi="Arial" w:cs="Arial"/>
          <w:sz w:val="22"/>
          <w:szCs w:val="22"/>
        </w:rPr>
        <w:t>Commercial Division, and as such the relief sought would have delayed thereby occasioning an irreparable damage to the Plaintiff</w:t>
      </w:r>
    </w:p>
    <w:p w:rsidR="00121842" w:rsidRPr="00EE0C7D" w:rsidRDefault="00EE0C7D" w:rsidP="00EE0C7D">
      <w:pPr>
        <w:tabs>
          <w:tab w:val="left" w:pos="1542"/>
        </w:tabs>
        <w:spacing w:before="187" w:line="360" w:lineRule="auto"/>
        <w:ind w:left="1560" w:right="151" w:hanging="716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4.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b/>
          <w:i/>
          <w:u w:val="single" w:color="404040"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we </w:t>
      </w:r>
      <w:r w:rsidR="007B00B9" w:rsidRPr="00EE0C7D">
        <w:rPr>
          <w:rFonts w:ascii="Arial" w:hAnsi="Arial" w:cs="Arial"/>
          <w:i/>
        </w:rPr>
        <w:t xml:space="preserve">are very much aware </w:t>
      </w:r>
      <w:r w:rsidR="007B00B9" w:rsidRPr="00EE0C7D">
        <w:rPr>
          <w:rFonts w:ascii="Arial" w:hAnsi="Arial" w:cs="Arial"/>
          <w:i/>
        </w:rPr>
        <w:t xml:space="preserve">that </w:t>
      </w:r>
      <w:r w:rsidR="007B00B9" w:rsidRPr="00EE0C7D">
        <w:rPr>
          <w:rFonts w:ascii="Arial" w:hAnsi="Arial" w:cs="Arial"/>
          <w:i/>
        </w:rPr>
        <w:t>this matter could have been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commenced at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 xml:space="preserve">the Commercial Division </w:t>
      </w:r>
      <w:r w:rsidR="007B00B9" w:rsidRPr="00EE0C7D">
        <w:rPr>
          <w:rFonts w:ascii="Arial" w:hAnsi="Arial" w:cs="Arial"/>
          <w:i/>
        </w:rPr>
        <w:t xml:space="preserve">but </w:t>
      </w:r>
      <w:r w:rsidR="007B00B9" w:rsidRPr="00EE0C7D">
        <w:rPr>
          <w:rFonts w:ascii="Arial" w:hAnsi="Arial" w:cs="Arial"/>
          <w:i/>
        </w:rPr>
        <w:t xml:space="preserve">there </w:t>
      </w:r>
      <w:r w:rsidR="007B00B9" w:rsidRPr="00EE0C7D">
        <w:rPr>
          <w:rFonts w:ascii="Arial" w:hAnsi="Arial" w:cs="Arial"/>
          <w:i/>
        </w:rPr>
        <w:t xml:space="preserve">were </w:t>
      </w:r>
      <w:r w:rsidR="007B00B9" w:rsidRPr="00EE0C7D">
        <w:rPr>
          <w:rFonts w:ascii="Arial" w:hAnsi="Arial" w:cs="Arial"/>
          <w:i/>
        </w:rPr>
        <w:t>compelling reasons for commencing this matter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this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division.</w:t>
      </w:r>
    </w:p>
    <w:p w:rsidR="00121842" w:rsidRPr="00EE0C7D" w:rsidRDefault="00EE0C7D" w:rsidP="00EE0C7D">
      <w:pPr>
        <w:tabs>
          <w:tab w:val="left" w:pos="1545"/>
        </w:tabs>
        <w:spacing w:before="173" w:line="360" w:lineRule="auto"/>
        <w:ind w:left="1552" w:right="152" w:hanging="713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5.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b/>
          <w:i/>
          <w:u w:val="single" w:color="404040"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despite that this matter could </w:t>
      </w:r>
      <w:r w:rsidR="007B00B9" w:rsidRPr="00EE0C7D">
        <w:rPr>
          <w:rFonts w:ascii="Arial" w:hAnsi="Arial" w:cs="Arial"/>
          <w:i/>
        </w:rPr>
        <w:t xml:space="preserve">have </w:t>
      </w:r>
      <w:r w:rsidR="007B00B9" w:rsidRPr="00EE0C7D">
        <w:rPr>
          <w:rFonts w:ascii="Arial" w:hAnsi="Arial" w:cs="Arial"/>
          <w:i/>
        </w:rPr>
        <w:t xml:space="preserve">been commenced in the Commercial Division, the same does not deprive a Judge of this Court jurisdiction .from presiding Over a Commercial matter </w:t>
      </w:r>
      <w:r w:rsidR="007B00B9" w:rsidRPr="00EE0C7D">
        <w:rPr>
          <w:rFonts w:ascii="Arial" w:hAnsi="Arial" w:cs="Arial"/>
          <w:i/>
        </w:rPr>
        <w:t xml:space="preserve">as </w:t>
      </w:r>
      <w:r w:rsidR="007B00B9" w:rsidRPr="00EE0C7D">
        <w:rPr>
          <w:rFonts w:ascii="Arial" w:hAnsi="Arial" w:cs="Arial"/>
          <w:i/>
        </w:rPr>
        <w:t>long as there have been compelling reasons to do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so.</w:t>
      </w:r>
    </w:p>
    <w:p w:rsidR="00121842" w:rsidRPr="00EE0C7D" w:rsidRDefault="00EE0C7D" w:rsidP="00EE0C7D">
      <w:pPr>
        <w:tabs>
          <w:tab w:val="left" w:pos="1552"/>
        </w:tabs>
        <w:spacing w:before="194" w:line="360" w:lineRule="auto"/>
        <w:ind w:left="1560" w:right="153" w:hanging="727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6.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b/>
          <w:i/>
          <w:u w:val="thick" w:color="404040"/>
        </w:rPr>
        <w:t xml:space="preserve">THAT </w:t>
      </w:r>
      <w:r w:rsidR="007B00B9" w:rsidRPr="00EE0C7D">
        <w:rPr>
          <w:rFonts w:ascii="Arial" w:hAnsi="Arial" w:cs="Arial"/>
          <w:i/>
        </w:rPr>
        <w:t xml:space="preserve">this </w:t>
      </w:r>
      <w:proofErr w:type="spellStart"/>
      <w:r w:rsidR="007B00B9" w:rsidRPr="00EE0C7D">
        <w:rPr>
          <w:rFonts w:ascii="Arial" w:hAnsi="Arial" w:cs="Arial"/>
          <w:i/>
        </w:rPr>
        <w:t>Honourable</w:t>
      </w:r>
      <w:proofErr w:type="spellEnd"/>
      <w:r w:rsidR="007B00B9" w:rsidRPr="00EE0C7D">
        <w:rPr>
          <w:rFonts w:ascii="Arial" w:hAnsi="Arial" w:cs="Arial"/>
          <w:i/>
        </w:rPr>
        <w:t xml:space="preserve"> Court can </w:t>
      </w:r>
      <w:r w:rsidR="007B00B9" w:rsidRPr="00EE0C7D">
        <w:rPr>
          <w:rFonts w:ascii="Arial" w:hAnsi="Arial" w:cs="Arial"/>
          <w:i/>
        </w:rPr>
        <w:t xml:space="preserve">still hear </w:t>
      </w:r>
      <w:r w:rsidR="007B00B9" w:rsidRPr="00EE0C7D">
        <w:rPr>
          <w:rFonts w:ascii="Arial" w:hAnsi="Arial" w:cs="Arial"/>
          <w:i/>
        </w:rPr>
        <w:t xml:space="preserve">the </w:t>
      </w:r>
      <w:r w:rsidR="007B00B9" w:rsidRPr="00EE0C7D">
        <w:rPr>
          <w:rFonts w:ascii="Arial" w:hAnsi="Arial" w:cs="Arial"/>
          <w:i/>
        </w:rPr>
        <w:t xml:space="preserve">matter </w:t>
      </w:r>
      <w:r w:rsidR="007B00B9" w:rsidRPr="00EE0C7D">
        <w:rPr>
          <w:rFonts w:ascii="Arial" w:hAnsi="Arial" w:cs="Arial"/>
          <w:i/>
        </w:rPr>
        <w:t xml:space="preserve">and </w:t>
      </w:r>
      <w:r w:rsidR="007B00B9" w:rsidRPr="00EE0C7D">
        <w:rPr>
          <w:rFonts w:ascii="Arial" w:hAnsi="Arial" w:cs="Arial"/>
          <w:i/>
        </w:rPr>
        <w:t xml:space="preserve">make </w:t>
      </w:r>
      <w:r w:rsidR="007B00B9" w:rsidRPr="00EE0C7D">
        <w:rPr>
          <w:rFonts w:ascii="Arial" w:hAnsi="Arial" w:cs="Arial"/>
          <w:i/>
        </w:rPr>
        <w:t>a determination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 xml:space="preserve">on the reliefs </w:t>
      </w:r>
      <w:r w:rsidR="007B00B9" w:rsidRPr="00EE0C7D">
        <w:rPr>
          <w:rFonts w:ascii="Arial" w:hAnsi="Arial" w:cs="Arial"/>
          <w:i/>
        </w:rPr>
        <w:t xml:space="preserve">that </w:t>
      </w:r>
      <w:r w:rsidR="007B00B9" w:rsidRPr="00EE0C7D">
        <w:rPr>
          <w:rFonts w:ascii="Arial" w:hAnsi="Arial" w:cs="Arial"/>
          <w:i/>
        </w:rPr>
        <w:t>are being sought</w:t>
      </w:r>
      <w:r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herein.</w:t>
      </w:r>
    </w:p>
    <w:p w:rsidR="00121842" w:rsidRPr="00EE0C7D" w:rsidRDefault="007B00B9" w:rsidP="00EE0C7D">
      <w:pPr>
        <w:pStyle w:val="BodyText"/>
        <w:spacing w:before="134" w:line="360" w:lineRule="auto"/>
        <w:ind w:left="818"/>
        <w:rPr>
          <w:rFonts w:ascii="Arial" w:hAnsi="Arial" w:cs="Arial"/>
          <w:i w:val="0"/>
          <w:sz w:val="22"/>
          <w:szCs w:val="22"/>
        </w:rPr>
      </w:pPr>
      <w:r w:rsidRPr="00EE0C7D">
        <w:rPr>
          <w:rFonts w:ascii="Arial" w:hAnsi="Arial" w:cs="Arial"/>
          <w:b/>
          <w:sz w:val="22"/>
          <w:szCs w:val="22"/>
        </w:rPr>
        <w:t xml:space="preserve">WHEREFORE </w:t>
      </w:r>
      <w:r w:rsidRPr="00EE0C7D">
        <w:rPr>
          <w:rFonts w:ascii="Arial" w:hAnsi="Arial" w:cs="Arial"/>
          <w:sz w:val="22"/>
          <w:szCs w:val="22"/>
        </w:rPr>
        <w:t xml:space="preserve">it is humbly prayed that the Application be dismissed with costs. </w:t>
      </w:r>
      <w:r w:rsidRPr="00EE0C7D">
        <w:rPr>
          <w:rFonts w:ascii="Arial" w:hAnsi="Arial" w:cs="Arial"/>
          <w:i w:val="0"/>
          <w:sz w:val="22"/>
          <w:szCs w:val="22"/>
        </w:rPr>
        <w:t>"</w:t>
      </w:r>
    </w:p>
    <w:p w:rsidR="00121842" w:rsidRPr="00EE0C7D" w:rsidRDefault="007B00B9" w:rsidP="00EE0C7D">
      <w:pPr>
        <w:pStyle w:val="Heading2"/>
        <w:spacing w:before="146" w:line="360" w:lineRule="auto"/>
        <w:ind w:left="120" w:right="150" w:hanging="4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submissions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Counsel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Kita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were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concise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brief.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adopted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his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affidavit </w:t>
      </w:r>
      <w:r w:rsidRPr="00EE0C7D">
        <w:rPr>
          <w:rFonts w:ascii="Arial" w:hAnsi="Arial" w:cs="Arial"/>
          <w:sz w:val="22"/>
          <w:szCs w:val="22"/>
        </w:rPr>
        <w:t xml:space="preserve">and invited the Court to note that the Plaintiff concedes </w:t>
      </w:r>
      <w:r w:rsidRPr="00EE0C7D">
        <w:rPr>
          <w:rFonts w:ascii="Arial" w:hAnsi="Arial" w:cs="Arial"/>
          <w:sz w:val="22"/>
          <w:szCs w:val="22"/>
        </w:rPr>
        <w:t xml:space="preserve">in </w:t>
      </w:r>
      <w:r w:rsidRPr="00EE0C7D">
        <w:rPr>
          <w:rFonts w:ascii="Arial" w:hAnsi="Arial" w:cs="Arial"/>
          <w:sz w:val="22"/>
          <w:szCs w:val="22"/>
        </w:rPr>
        <w:t xml:space="preserve">its affidavit in </w:t>
      </w:r>
      <w:r w:rsidRPr="00EE0C7D">
        <w:rPr>
          <w:rFonts w:ascii="Arial" w:hAnsi="Arial" w:cs="Arial"/>
          <w:sz w:val="22"/>
          <w:szCs w:val="22"/>
        </w:rPr>
        <w:t xml:space="preserve">opposition that the claim herein </w:t>
      </w:r>
      <w:r w:rsidRPr="00EE0C7D">
        <w:rPr>
          <w:rFonts w:ascii="Arial" w:hAnsi="Arial" w:cs="Arial"/>
          <w:sz w:val="22"/>
          <w:szCs w:val="22"/>
        </w:rPr>
        <w:t xml:space="preserve">is </w:t>
      </w:r>
      <w:r w:rsidRPr="00EE0C7D">
        <w:rPr>
          <w:rFonts w:ascii="Arial" w:hAnsi="Arial" w:cs="Arial"/>
          <w:sz w:val="22"/>
          <w:szCs w:val="22"/>
        </w:rPr>
        <w:t xml:space="preserve">a commercial matter. Counsel Kita submitted </w:t>
      </w:r>
      <w:r w:rsidRPr="00EE0C7D">
        <w:rPr>
          <w:rFonts w:ascii="Arial" w:hAnsi="Arial" w:cs="Arial"/>
          <w:sz w:val="22"/>
          <w:szCs w:val="22"/>
        </w:rPr>
        <w:t>that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light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concession,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there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can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no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valid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reason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not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having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this </w:t>
      </w:r>
      <w:r w:rsidRPr="00EE0C7D">
        <w:rPr>
          <w:rFonts w:ascii="Arial" w:hAnsi="Arial" w:cs="Arial"/>
          <w:sz w:val="22"/>
          <w:szCs w:val="22"/>
        </w:rPr>
        <w:t xml:space="preserve">matter transferred </w:t>
      </w:r>
      <w:r w:rsidRPr="00EE0C7D">
        <w:rPr>
          <w:rFonts w:ascii="Arial" w:hAnsi="Arial" w:cs="Arial"/>
          <w:sz w:val="22"/>
          <w:szCs w:val="22"/>
        </w:rPr>
        <w:t xml:space="preserve">to </w:t>
      </w:r>
      <w:r w:rsidRPr="00EE0C7D">
        <w:rPr>
          <w:rFonts w:ascii="Arial" w:hAnsi="Arial" w:cs="Arial"/>
          <w:sz w:val="22"/>
          <w:szCs w:val="22"/>
        </w:rPr>
        <w:t>the Commercial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Division.</w:t>
      </w:r>
    </w:p>
    <w:p w:rsidR="00121842" w:rsidRPr="00EE0C7D" w:rsidRDefault="007B00B9" w:rsidP="00EE0C7D">
      <w:pPr>
        <w:spacing w:before="187" w:line="360" w:lineRule="auto"/>
        <w:ind w:left="116" w:right="152" w:firstLine="5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>Counsel</w:t>
      </w:r>
      <w:r w:rsidRPr="00EE0C7D">
        <w:rPr>
          <w:rFonts w:ascii="Arial" w:hAnsi="Arial" w:cs="Arial"/>
        </w:rPr>
        <w:t xml:space="preserve"> </w:t>
      </w:r>
      <w:proofErr w:type="spellStart"/>
      <w:r w:rsidRPr="00EE0C7D">
        <w:rPr>
          <w:rFonts w:ascii="Arial" w:hAnsi="Arial" w:cs="Arial"/>
        </w:rPr>
        <w:t>Gondwe</w:t>
      </w:r>
      <w:proofErr w:type="spellEnd"/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adopted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Plaintiffs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Skeletal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Arguments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and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same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are </w:t>
      </w:r>
      <w:r w:rsidRPr="00EE0C7D">
        <w:rPr>
          <w:rFonts w:ascii="Arial" w:hAnsi="Arial" w:cs="Arial"/>
        </w:rPr>
        <w:t>reproduced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below:</w:t>
      </w:r>
    </w:p>
    <w:p w:rsidR="00121842" w:rsidRPr="00EE0C7D" w:rsidRDefault="007B00B9" w:rsidP="00EE0C7D">
      <w:pPr>
        <w:pStyle w:val="Heading3"/>
        <w:tabs>
          <w:tab w:val="left" w:pos="1547"/>
        </w:tabs>
        <w:spacing w:before="160" w:line="360" w:lineRule="auto"/>
        <w:ind w:left="863"/>
        <w:rPr>
          <w:sz w:val="22"/>
          <w:szCs w:val="22"/>
        </w:rPr>
      </w:pPr>
      <w:r w:rsidRPr="00EE0C7D">
        <w:rPr>
          <w:sz w:val="22"/>
          <w:szCs w:val="22"/>
        </w:rPr>
        <w:t>"3.</w:t>
      </w:r>
      <w:r w:rsidRPr="00EE0C7D">
        <w:rPr>
          <w:sz w:val="22"/>
          <w:szCs w:val="22"/>
        </w:rPr>
        <w:t xml:space="preserve"> </w:t>
      </w:r>
      <w:r w:rsidRPr="00EE0C7D">
        <w:rPr>
          <w:sz w:val="22"/>
          <w:szCs w:val="22"/>
        </w:rPr>
        <w:t>0</w:t>
      </w:r>
      <w:r w:rsidRPr="00EE0C7D">
        <w:rPr>
          <w:sz w:val="22"/>
          <w:szCs w:val="22"/>
        </w:rPr>
        <w:tab/>
      </w:r>
      <w:r w:rsidRPr="00EE0C7D">
        <w:rPr>
          <w:sz w:val="22"/>
          <w:szCs w:val="22"/>
          <w:u w:val="thick" w:color="3B3B3B"/>
        </w:rPr>
        <w:t>THE</w:t>
      </w:r>
      <w:r w:rsidRPr="00EE0C7D">
        <w:rPr>
          <w:sz w:val="22"/>
          <w:szCs w:val="22"/>
          <w:u w:val="thick" w:color="3B3B3B"/>
        </w:rPr>
        <w:t xml:space="preserve"> </w:t>
      </w:r>
      <w:r w:rsidRPr="00EE0C7D">
        <w:rPr>
          <w:sz w:val="22"/>
          <w:szCs w:val="22"/>
          <w:u w:val="thick" w:color="3B3B3B"/>
        </w:rPr>
        <w:t>LAW</w:t>
      </w:r>
    </w:p>
    <w:p w:rsidR="00121842" w:rsidRPr="00EE0C7D" w:rsidRDefault="00121842" w:rsidP="00EE0C7D">
      <w:pPr>
        <w:spacing w:line="360" w:lineRule="auto"/>
        <w:rPr>
          <w:rFonts w:ascii="Arial" w:hAnsi="Arial" w:cs="Arial"/>
        </w:rPr>
        <w:sectPr w:rsidR="00121842" w:rsidRPr="00EE0C7D">
          <w:footerReference w:type="default" r:id="rId12"/>
          <w:pgSz w:w="12250" w:h="16870"/>
          <w:pgMar w:top="960" w:right="920" w:bottom="2820" w:left="1580" w:header="567" w:footer="2624" w:gutter="0"/>
          <w:pgNumType w:start="3"/>
          <w:cols w:space="720"/>
        </w:sectPr>
      </w:pPr>
    </w:p>
    <w:p w:rsidR="00121842" w:rsidRPr="00EE0C7D" w:rsidRDefault="00121842" w:rsidP="00EE0C7D">
      <w:pPr>
        <w:pStyle w:val="BodyText"/>
        <w:spacing w:before="3" w:line="360" w:lineRule="auto"/>
        <w:rPr>
          <w:rFonts w:ascii="Arial" w:hAnsi="Arial" w:cs="Arial"/>
          <w:b/>
          <w:sz w:val="22"/>
          <w:szCs w:val="22"/>
        </w:rPr>
      </w:pPr>
    </w:p>
    <w:p w:rsidR="00121842" w:rsidRPr="00EE0C7D" w:rsidRDefault="00121842" w:rsidP="00EE0C7D">
      <w:pPr>
        <w:spacing w:line="360" w:lineRule="auto"/>
        <w:rPr>
          <w:rFonts w:ascii="Arial" w:hAnsi="Arial" w:cs="Arial"/>
        </w:rPr>
        <w:sectPr w:rsidR="00121842" w:rsidRPr="00EE0C7D" w:rsidSect="00EE0C7D">
          <w:pgSz w:w="12250" w:h="16870"/>
          <w:pgMar w:top="960" w:right="1080" w:bottom="2820" w:left="1440" w:header="567" w:footer="2624" w:gutter="0"/>
          <w:cols w:space="720"/>
        </w:sectPr>
      </w:pPr>
    </w:p>
    <w:p w:rsidR="00EE0C7D" w:rsidRPr="00EE0C7D" w:rsidRDefault="007B00B9" w:rsidP="00EE0C7D">
      <w:pPr>
        <w:pStyle w:val="Heading3"/>
        <w:spacing w:before="131" w:line="360" w:lineRule="auto"/>
        <w:ind w:left="392"/>
        <w:jc w:val="both"/>
        <w:rPr>
          <w:sz w:val="22"/>
          <w:szCs w:val="22"/>
        </w:rPr>
      </w:pPr>
      <w:r w:rsidRPr="00EE0C7D">
        <w:rPr>
          <w:sz w:val="22"/>
          <w:szCs w:val="22"/>
        </w:rPr>
        <w:t>3.1</w:t>
      </w:r>
      <w:r w:rsidR="00EE0C7D" w:rsidRPr="00EE0C7D">
        <w:rPr>
          <w:sz w:val="22"/>
          <w:szCs w:val="22"/>
        </w:rPr>
        <w:t xml:space="preserve"> </w:t>
      </w:r>
      <w:r w:rsidR="00EE0C7D" w:rsidRPr="00EE0C7D">
        <w:rPr>
          <w:sz w:val="22"/>
          <w:szCs w:val="22"/>
        </w:rPr>
        <w:t>Commercial Matter</w:t>
      </w:r>
    </w:p>
    <w:p w:rsidR="00EE0C7D" w:rsidRPr="00EE0C7D" w:rsidRDefault="00EE0C7D" w:rsidP="00EE0C7D">
      <w:pPr>
        <w:pStyle w:val="BodyText"/>
        <w:spacing w:before="206" w:line="360" w:lineRule="auto"/>
        <w:ind w:left="369" w:right="185" w:firstLine="22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Commercial Matter has been defined by the High Court (Commercial Division) Rules. Order 1 rule 1 5 provides, inter alia, that "Commercial Matter means a civil matter of commercial significance arising out of or connected with any relationship of commercial</w:t>
      </w:r>
      <w:r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business</w:t>
      </w:r>
      <w:r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nature, whether contractual or not, including but not limited to-</w:t>
      </w:r>
    </w:p>
    <w:p w:rsidR="00121842" w:rsidRPr="00EE0C7D" w:rsidRDefault="007B00B9" w:rsidP="00EE0C7D">
      <w:pPr>
        <w:pStyle w:val="BodyText"/>
        <w:spacing w:before="195" w:line="360" w:lineRule="auto"/>
        <w:ind w:left="372" w:right="180" w:firstLine="2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3.2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="00EE0C7D">
        <w:rPr>
          <w:rFonts w:ascii="Arial" w:hAnsi="Arial" w:cs="Arial"/>
          <w:sz w:val="22"/>
          <w:szCs w:val="22"/>
          <w:u w:val="single" w:color="404040"/>
        </w:rPr>
        <w:t>It is clear that the plaintif</w:t>
      </w:r>
      <w:r w:rsidR="00EE0C7D" w:rsidRPr="00EE0C7D">
        <w:rPr>
          <w:rFonts w:ascii="Arial" w:hAnsi="Arial" w:cs="Arial"/>
          <w:sz w:val="22"/>
          <w:szCs w:val="22"/>
          <w:u w:val="single" w:color="404040"/>
        </w:rPr>
        <w:t>f and the defendant are in a contractual relationship involving business transactions that the claims involved are liabilities from and the matter involved</w:t>
      </w:r>
      <w:r w:rsidR="00EE0C7D">
        <w:rPr>
          <w:rFonts w:ascii="Arial" w:hAnsi="Arial" w:cs="Arial"/>
          <w:sz w:val="22"/>
          <w:szCs w:val="22"/>
          <w:u w:val="single" w:color="404040"/>
        </w:rPr>
        <w:t xml:space="preserve"> </w:t>
      </w:r>
      <w:r w:rsidR="00EE0C7D" w:rsidRPr="00EE0C7D">
        <w:rPr>
          <w:rFonts w:ascii="Arial" w:hAnsi="Arial" w:cs="Arial"/>
          <w:sz w:val="22"/>
          <w:szCs w:val="22"/>
          <w:u w:val="single" w:color="404040"/>
        </w:rPr>
        <w:t>payment of</w:t>
      </w:r>
      <w:r w:rsidR="00EE0C7D">
        <w:rPr>
          <w:rFonts w:ascii="Arial" w:hAnsi="Arial" w:cs="Arial"/>
          <w:sz w:val="22"/>
          <w:szCs w:val="22"/>
          <w:u w:val="single" w:color="404040"/>
        </w:rPr>
        <w:t xml:space="preserve"> </w:t>
      </w:r>
      <w:r w:rsidR="00EE0C7D" w:rsidRPr="00EE0C7D">
        <w:rPr>
          <w:rFonts w:ascii="Arial" w:hAnsi="Arial" w:cs="Arial"/>
          <w:sz w:val="22"/>
          <w:szCs w:val="22"/>
          <w:u w:val="single" w:color="404040"/>
        </w:rPr>
        <w:t>a commercial debt.</w:t>
      </w:r>
    </w:p>
    <w:p w:rsidR="00EE0C7D" w:rsidRPr="00EE0C7D" w:rsidRDefault="00EE0C7D" w:rsidP="00EE0C7D">
      <w:pPr>
        <w:pStyle w:val="Heading3"/>
        <w:spacing w:before="220" w:line="360" w:lineRule="auto"/>
        <w:ind w:left="3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EE0C7D">
        <w:rPr>
          <w:sz w:val="22"/>
          <w:szCs w:val="22"/>
        </w:rPr>
        <w:t>Transfer of proceedings to the Commercial Court.</w:t>
      </w:r>
    </w:p>
    <w:p w:rsidR="00121842" w:rsidRPr="00EE0C7D" w:rsidRDefault="00EE0C7D" w:rsidP="00EE0C7D">
      <w:pPr>
        <w:pStyle w:val="BodyText"/>
        <w:spacing w:before="216" w:line="360" w:lineRule="auto"/>
        <w:ind w:left="359" w:right="172" w:firstLine="21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 xml:space="preserve">Commercial matters ought to be brought in the commercial division unless there are compelling or convincing reasons not to do so. Where a commercial matter has been brought in the general division, the matter ought to be transferred to the commercial division of the High Court - </w:t>
      </w:r>
      <w:proofErr w:type="spellStart"/>
      <w:r w:rsidRPr="00EE0C7D">
        <w:rPr>
          <w:rFonts w:ascii="Arial" w:hAnsi="Arial" w:cs="Arial"/>
          <w:b/>
          <w:sz w:val="22"/>
          <w:szCs w:val="22"/>
        </w:rPr>
        <w:t>Mpungira</w:t>
      </w:r>
      <w:proofErr w:type="spellEnd"/>
      <w:r w:rsidRPr="00EE0C7D">
        <w:rPr>
          <w:rFonts w:ascii="Arial" w:hAnsi="Arial" w:cs="Arial"/>
          <w:b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Trading Limited v International Commercial Bank, Civil Cause Number 493 of 2013.</w:t>
      </w:r>
    </w:p>
    <w:p w:rsidR="00121842" w:rsidRPr="00EE0C7D" w:rsidRDefault="007B00B9" w:rsidP="00EE0C7D">
      <w:pPr>
        <w:spacing w:before="192" w:line="360" w:lineRule="auto"/>
        <w:ind w:left="369" w:right="111" w:firstLine="19"/>
        <w:jc w:val="both"/>
        <w:rPr>
          <w:rFonts w:ascii="Arial" w:hAnsi="Arial" w:cs="Arial"/>
          <w:b/>
          <w:i/>
        </w:rPr>
      </w:pPr>
      <w:r w:rsidRPr="00EE0C7D">
        <w:rPr>
          <w:rFonts w:ascii="Arial" w:hAnsi="Arial" w:cs="Arial"/>
          <w:i/>
        </w:rPr>
        <w:t>3.4</w:t>
      </w:r>
      <w:r w:rsidR="00EE0C7D" w:rsidRP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The Creation of different divisions in the High Court is not to impeach section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108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of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the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Constitution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but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to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improve</w:t>
      </w:r>
      <w:r w:rsidR="00EE0C7D">
        <w:rPr>
          <w:rFonts w:ascii="Arial" w:hAnsi="Arial" w:cs="Arial"/>
          <w:i/>
        </w:rPr>
        <w:t xml:space="preserve"> </w:t>
      </w:r>
      <w:proofErr w:type="spellStart"/>
      <w:r w:rsidR="00EE0C7D" w:rsidRPr="00EE0C7D">
        <w:rPr>
          <w:rFonts w:ascii="Arial" w:hAnsi="Arial" w:cs="Arial"/>
          <w:i/>
        </w:rPr>
        <w:t>eficiency</w:t>
      </w:r>
      <w:proofErr w:type="spellEnd"/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and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service delivery. As a result, such specialization of divisions must be encouraged for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expediency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and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efficiency</w:t>
      </w:r>
      <w:r w:rsidR="00EE0C7D">
        <w:rPr>
          <w:rFonts w:ascii="Arial" w:hAnsi="Arial" w:cs="Arial"/>
          <w:i/>
        </w:rPr>
        <w:t xml:space="preserve"> </w:t>
      </w:r>
      <w:r w:rsidR="00EE0C7D" w:rsidRPr="00EE0C7D">
        <w:rPr>
          <w:rFonts w:ascii="Arial" w:hAnsi="Arial" w:cs="Arial"/>
          <w:i/>
        </w:rPr>
        <w:t>-</w:t>
      </w:r>
      <w:r w:rsidR="00EE0C7D">
        <w:rPr>
          <w:rFonts w:ascii="Arial" w:hAnsi="Arial" w:cs="Arial"/>
          <w:i/>
        </w:rPr>
        <w:t xml:space="preserve"> </w:t>
      </w:r>
      <w:proofErr w:type="spellStart"/>
      <w:r w:rsidR="00EE0C7D" w:rsidRPr="00EE0C7D">
        <w:rPr>
          <w:rFonts w:ascii="Arial" w:hAnsi="Arial" w:cs="Arial"/>
          <w:b/>
          <w:i/>
        </w:rPr>
        <w:t>Mbale</w:t>
      </w:r>
      <w:proofErr w:type="spellEnd"/>
      <w:r w:rsidR="00EE0C7D">
        <w:rPr>
          <w:rFonts w:ascii="Arial" w:hAnsi="Arial" w:cs="Arial"/>
          <w:b/>
          <w:i/>
        </w:rPr>
        <w:t xml:space="preserve"> </w:t>
      </w:r>
      <w:r w:rsidR="00EE0C7D" w:rsidRPr="00EE0C7D">
        <w:rPr>
          <w:rFonts w:ascii="Arial" w:hAnsi="Arial" w:cs="Arial"/>
          <w:b/>
          <w:i/>
        </w:rPr>
        <w:t>v</w:t>
      </w:r>
      <w:r w:rsidR="00EE0C7D">
        <w:rPr>
          <w:rFonts w:ascii="Arial" w:hAnsi="Arial" w:cs="Arial"/>
          <w:b/>
          <w:i/>
        </w:rPr>
        <w:t xml:space="preserve"> </w:t>
      </w:r>
      <w:proofErr w:type="spellStart"/>
      <w:r w:rsidR="00EE0C7D" w:rsidRPr="00EE0C7D">
        <w:rPr>
          <w:rFonts w:ascii="Arial" w:hAnsi="Arial" w:cs="Arial"/>
          <w:b/>
          <w:i/>
        </w:rPr>
        <w:t>Maganga</w:t>
      </w:r>
      <w:proofErr w:type="spellEnd"/>
      <w:r w:rsidR="00EE0C7D">
        <w:rPr>
          <w:rFonts w:ascii="Arial" w:hAnsi="Arial" w:cs="Arial"/>
          <w:b/>
          <w:i/>
        </w:rPr>
        <w:t xml:space="preserve"> </w:t>
      </w:r>
      <w:r w:rsidR="00EE0C7D" w:rsidRPr="00EE0C7D">
        <w:rPr>
          <w:rFonts w:ascii="Arial" w:hAnsi="Arial" w:cs="Arial"/>
          <w:b/>
          <w:i/>
        </w:rPr>
        <w:t>Miscellaneous</w:t>
      </w:r>
      <w:r w:rsidR="00EE0C7D">
        <w:rPr>
          <w:rFonts w:ascii="Arial" w:hAnsi="Arial" w:cs="Arial"/>
          <w:b/>
          <w:i/>
        </w:rPr>
        <w:t xml:space="preserve"> </w:t>
      </w:r>
      <w:r w:rsidR="00EE0C7D" w:rsidRPr="00EE0C7D">
        <w:rPr>
          <w:rFonts w:ascii="Arial" w:hAnsi="Arial" w:cs="Arial"/>
          <w:b/>
          <w:i/>
        </w:rPr>
        <w:t>Civil Appeal Cause Number 21 of 2013.</w:t>
      </w:r>
    </w:p>
    <w:p w:rsidR="00121842" w:rsidRPr="00EE0C7D" w:rsidRDefault="007B00B9" w:rsidP="00EE0C7D">
      <w:pPr>
        <w:pStyle w:val="BodyText"/>
        <w:spacing w:before="206" w:line="360" w:lineRule="auto"/>
        <w:ind w:left="371" w:right="110" w:firstLine="21"/>
        <w:jc w:val="both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3.5</w:t>
      </w:r>
      <w:r w:rsidR="00EE0C7D" w:rsidRPr="00EE0C7D">
        <w:rPr>
          <w:rFonts w:ascii="Arial" w:hAnsi="Arial" w:cs="Arial"/>
          <w:sz w:val="22"/>
          <w:szCs w:val="22"/>
        </w:rPr>
        <w:t xml:space="preserve"> </w:t>
      </w:r>
      <w:r w:rsidR="00EE0C7D" w:rsidRPr="00EE0C7D">
        <w:rPr>
          <w:rFonts w:ascii="Arial" w:hAnsi="Arial" w:cs="Arial"/>
          <w:sz w:val="22"/>
          <w:szCs w:val="22"/>
        </w:rPr>
        <w:t>The above authority shows that the Malawi Supreme Court's position is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="00EE0C7D" w:rsidRPr="00EE0C7D">
        <w:rPr>
          <w:rFonts w:ascii="Arial" w:hAnsi="Arial" w:cs="Arial"/>
          <w:sz w:val="22"/>
          <w:szCs w:val="22"/>
        </w:rPr>
        <w:t>that commencement of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="00EE0C7D" w:rsidRPr="00EE0C7D">
        <w:rPr>
          <w:rFonts w:ascii="Arial" w:hAnsi="Arial" w:cs="Arial"/>
          <w:sz w:val="22"/>
          <w:szCs w:val="22"/>
        </w:rPr>
        <w:t>cases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="00EE0C7D" w:rsidRPr="00EE0C7D">
        <w:rPr>
          <w:rFonts w:ascii="Arial" w:hAnsi="Arial" w:cs="Arial"/>
          <w:sz w:val="22"/>
          <w:szCs w:val="22"/>
        </w:rPr>
        <w:t>in specialized divisions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="00EE0C7D" w:rsidRPr="00EE0C7D">
        <w:rPr>
          <w:rFonts w:ascii="Arial" w:hAnsi="Arial" w:cs="Arial"/>
          <w:sz w:val="22"/>
          <w:szCs w:val="22"/>
        </w:rPr>
        <w:t>must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="00EE0C7D" w:rsidRPr="00EE0C7D">
        <w:rPr>
          <w:rFonts w:ascii="Arial" w:hAnsi="Arial" w:cs="Arial"/>
          <w:sz w:val="22"/>
          <w:szCs w:val="22"/>
        </w:rPr>
        <w:t>be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="00EE0C7D" w:rsidRPr="00EE0C7D">
        <w:rPr>
          <w:rFonts w:ascii="Arial" w:hAnsi="Arial" w:cs="Arial"/>
          <w:sz w:val="22"/>
          <w:szCs w:val="22"/>
        </w:rPr>
        <w:t>encouraged for expediency and efficiency.</w:t>
      </w:r>
    </w:p>
    <w:p w:rsidR="00105B01" w:rsidRDefault="007B00B9" w:rsidP="00105B01">
      <w:pPr>
        <w:pStyle w:val="BodyText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3. 6</w:t>
      </w:r>
      <w:r w:rsidR="00105B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5B01" w:rsidRPr="00EE0C7D">
        <w:rPr>
          <w:rFonts w:ascii="Arial" w:hAnsi="Arial" w:cs="Arial"/>
          <w:sz w:val="22"/>
          <w:szCs w:val="22"/>
        </w:rPr>
        <w:t>Further</w:t>
      </w:r>
      <w:proofErr w:type="gramEnd"/>
      <w:r w:rsidR="00105B01" w:rsidRPr="00EE0C7D">
        <w:rPr>
          <w:rFonts w:ascii="Arial" w:hAnsi="Arial" w:cs="Arial"/>
          <w:sz w:val="22"/>
          <w:szCs w:val="22"/>
        </w:rPr>
        <w:t xml:space="preserve">, according to the case of </w:t>
      </w:r>
      <w:proofErr w:type="spellStart"/>
      <w:r w:rsidR="00105B01" w:rsidRPr="00EE0C7D">
        <w:rPr>
          <w:rFonts w:ascii="Arial" w:hAnsi="Arial" w:cs="Arial"/>
          <w:b/>
          <w:sz w:val="22"/>
          <w:szCs w:val="22"/>
        </w:rPr>
        <w:t>Mpungulira</w:t>
      </w:r>
      <w:proofErr w:type="spellEnd"/>
      <w:r w:rsidR="00105B01" w:rsidRPr="00EE0C7D">
        <w:rPr>
          <w:rFonts w:ascii="Arial" w:hAnsi="Arial" w:cs="Arial"/>
          <w:b/>
          <w:sz w:val="22"/>
          <w:szCs w:val="22"/>
        </w:rPr>
        <w:t xml:space="preserve"> </w:t>
      </w:r>
      <w:r w:rsidR="00105B01" w:rsidRPr="00EE0C7D">
        <w:rPr>
          <w:rFonts w:ascii="Arial" w:hAnsi="Arial" w:cs="Arial"/>
          <w:sz w:val="22"/>
          <w:szCs w:val="22"/>
        </w:rPr>
        <w:t xml:space="preserve">cited above, the appropriate rout of action is not </w:t>
      </w:r>
      <w:proofErr w:type="spellStart"/>
      <w:r w:rsidR="00105B01" w:rsidRPr="00EE0C7D">
        <w:rPr>
          <w:rFonts w:ascii="Arial" w:hAnsi="Arial" w:cs="Arial"/>
          <w:sz w:val="22"/>
          <w:szCs w:val="22"/>
        </w:rPr>
        <w:t>t</w:t>
      </w:r>
      <w:proofErr w:type="spellEnd"/>
      <w:r w:rsidR="00105B01" w:rsidRPr="00EE0C7D">
        <w:rPr>
          <w:rFonts w:ascii="Arial" w:hAnsi="Arial" w:cs="Arial"/>
          <w:sz w:val="22"/>
          <w:szCs w:val="22"/>
        </w:rPr>
        <w:t xml:space="preserve"> dismiss the matter but rather to order that it be transferred to the division which has specialized</w:t>
      </w:r>
      <w:r w:rsidR="00105B01">
        <w:rPr>
          <w:rFonts w:ascii="Arial" w:hAnsi="Arial" w:cs="Arial"/>
          <w:sz w:val="22"/>
          <w:szCs w:val="22"/>
        </w:rPr>
        <w:t xml:space="preserve"> </w:t>
      </w:r>
      <w:r w:rsidR="00105B01" w:rsidRPr="00EE0C7D">
        <w:rPr>
          <w:rFonts w:ascii="Arial" w:hAnsi="Arial" w:cs="Arial"/>
          <w:sz w:val="22"/>
          <w:szCs w:val="22"/>
        </w:rPr>
        <w:t>jurisdiction.</w:t>
      </w:r>
    </w:p>
    <w:p w:rsidR="00105B01" w:rsidRDefault="00EE0C7D" w:rsidP="00105B01">
      <w:pPr>
        <w:pStyle w:val="BodyText"/>
        <w:spacing w:line="360" w:lineRule="auto"/>
        <w:ind w:left="426"/>
        <w:rPr>
          <w:rFonts w:ascii="Arial" w:hAnsi="Arial" w:cs="Arial"/>
          <w:sz w:val="22"/>
          <w:szCs w:val="22"/>
          <w:u w:val="single" w:color="3B3B3B"/>
        </w:rPr>
      </w:pPr>
      <w:r w:rsidRPr="00EE0C7D">
        <w:rPr>
          <w:rFonts w:ascii="Arial" w:hAnsi="Arial" w:cs="Arial"/>
          <w:sz w:val="22"/>
          <w:szCs w:val="22"/>
        </w:rPr>
        <w:t>4.0</w:t>
      </w:r>
      <w:r w:rsidRPr="00EE0C7D">
        <w:rPr>
          <w:rFonts w:ascii="Arial" w:hAnsi="Arial" w:cs="Arial"/>
          <w:sz w:val="22"/>
          <w:szCs w:val="22"/>
        </w:rPr>
        <w:tab/>
      </w:r>
      <w:r w:rsidR="007B00B9" w:rsidRPr="00EE0C7D">
        <w:rPr>
          <w:rFonts w:ascii="Arial" w:hAnsi="Arial" w:cs="Arial"/>
          <w:sz w:val="22"/>
          <w:szCs w:val="22"/>
          <w:u w:val="single" w:color="3B3B3B"/>
        </w:rPr>
        <w:t>ANALYSIS</w:t>
      </w:r>
    </w:p>
    <w:p w:rsidR="00105B01" w:rsidRDefault="00105B01" w:rsidP="00105B01">
      <w:pPr>
        <w:pStyle w:val="BodyText"/>
        <w:spacing w:line="360" w:lineRule="auto"/>
        <w:ind w:left="426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105B01" w:rsidP="00105B01">
      <w:pPr>
        <w:pStyle w:val="BodyText"/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4.1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7B00B9" w:rsidRPr="00EE0C7D">
        <w:rPr>
          <w:rFonts w:ascii="Arial" w:hAnsi="Arial" w:cs="Arial"/>
          <w:sz w:val="22"/>
          <w:szCs w:val="22"/>
        </w:rPr>
        <w:t xml:space="preserve">This matter is a Commercial matter within the intended of the High Court </w:t>
      </w:r>
      <w:r w:rsidR="007B00B9" w:rsidRPr="00EE0C7D">
        <w:rPr>
          <w:rFonts w:ascii="Arial" w:hAnsi="Arial" w:cs="Arial"/>
          <w:sz w:val="22"/>
          <w:szCs w:val="22"/>
        </w:rPr>
        <w:t>(Commercial Division)</w:t>
      </w:r>
      <w:r w:rsidR="007B00B9" w:rsidRPr="00EE0C7D">
        <w:rPr>
          <w:rFonts w:ascii="Arial" w:hAnsi="Arial" w:cs="Arial"/>
          <w:sz w:val="22"/>
          <w:szCs w:val="22"/>
        </w:rPr>
        <w:t xml:space="preserve"> </w:t>
      </w:r>
      <w:r w:rsidR="007B00B9" w:rsidRPr="00EE0C7D">
        <w:rPr>
          <w:rFonts w:ascii="Arial" w:hAnsi="Arial" w:cs="Arial"/>
          <w:sz w:val="22"/>
          <w:szCs w:val="22"/>
        </w:rPr>
        <w:t>Rules.</w:t>
      </w:r>
    </w:p>
    <w:p w:rsidR="00121842" w:rsidRPr="00EE0C7D" w:rsidRDefault="00121842" w:rsidP="00EE0C7D">
      <w:pPr>
        <w:spacing w:line="360" w:lineRule="auto"/>
        <w:rPr>
          <w:rFonts w:ascii="Arial" w:hAnsi="Arial" w:cs="Arial"/>
        </w:rPr>
        <w:sectPr w:rsidR="00121842" w:rsidRPr="00EE0C7D">
          <w:type w:val="continuous"/>
          <w:pgSz w:w="12250" w:h="16870"/>
          <w:pgMar w:top="780" w:right="1080" w:bottom="2900" w:left="1440" w:header="720" w:footer="720" w:gutter="0"/>
          <w:cols w:space="720"/>
        </w:sectPr>
      </w:pPr>
    </w:p>
    <w:p w:rsidR="00121842" w:rsidRPr="00EE0C7D" w:rsidRDefault="00121842" w:rsidP="00EE0C7D">
      <w:pPr>
        <w:pStyle w:val="BodyText"/>
        <w:spacing w:before="7" w:line="360" w:lineRule="auto"/>
        <w:rPr>
          <w:rFonts w:ascii="Arial" w:hAnsi="Arial" w:cs="Arial"/>
          <w:sz w:val="22"/>
          <w:szCs w:val="22"/>
        </w:rPr>
      </w:pPr>
    </w:p>
    <w:p w:rsidR="00121842" w:rsidRPr="00EE0C7D" w:rsidRDefault="007B00B9" w:rsidP="00EE0C7D">
      <w:pPr>
        <w:pStyle w:val="BodyText"/>
        <w:spacing w:before="125" w:line="360" w:lineRule="auto"/>
        <w:ind w:left="2287" w:right="133" w:firstLine="4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lastRenderedPageBreak/>
        <w:t>There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were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compelling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reasons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have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been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brought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>General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Division.</w:t>
      </w:r>
    </w:p>
    <w:p w:rsidR="00121842" w:rsidRPr="00EE0C7D" w:rsidRDefault="00EE0C7D" w:rsidP="00EE0C7D">
      <w:pPr>
        <w:tabs>
          <w:tab w:val="left" w:pos="2293"/>
        </w:tabs>
        <w:spacing w:before="200" w:line="360" w:lineRule="auto"/>
        <w:ind w:left="2269" w:right="118" w:hanging="704"/>
        <w:jc w:val="both"/>
        <w:rPr>
          <w:rFonts w:ascii="Arial" w:hAnsi="Arial" w:cs="Arial"/>
          <w:i/>
        </w:rPr>
      </w:pPr>
      <w:r w:rsidRPr="00EE0C7D">
        <w:rPr>
          <w:rFonts w:ascii="Arial" w:hAnsi="Arial" w:cs="Arial"/>
          <w:i/>
        </w:rPr>
        <w:t>4.2</w:t>
      </w:r>
      <w:r w:rsidRPr="00EE0C7D">
        <w:rPr>
          <w:rFonts w:ascii="Arial" w:hAnsi="Arial" w:cs="Arial"/>
          <w:i/>
        </w:rPr>
        <w:tab/>
      </w:r>
      <w:r w:rsidR="007B00B9" w:rsidRPr="00EE0C7D">
        <w:rPr>
          <w:rFonts w:ascii="Arial" w:hAnsi="Arial" w:cs="Arial"/>
          <w:i/>
        </w:rPr>
        <w:t>The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matter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is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likely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to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disposed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of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quickly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in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view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of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fact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that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 same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has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been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brought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by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way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of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Originating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Summons.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Further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 time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plaintiff</w:t>
      </w:r>
      <w:r w:rsidR="00105B01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was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bringing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action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there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was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an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urgent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need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for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 xml:space="preserve">an </w:t>
      </w:r>
      <w:r w:rsidR="007B00B9" w:rsidRPr="00EE0C7D">
        <w:rPr>
          <w:rFonts w:ascii="Arial" w:hAnsi="Arial" w:cs="Arial"/>
          <w:i/>
        </w:rPr>
        <w:t xml:space="preserve">injunction and that the General Division </w:t>
      </w:r>
      <w:r w:rsidR="007B00B9" w:rsidRPr="00EE0C7D">
        <w:rPr>
          <w:rFonts w:ascii="Arial" w:hAnsi="Arial" w:cs="Arial"/>
          <w:i/>
        </w:rPr>
        <w:t xml:space="preserve">was </w:t>
      </w:r>
      <w:r w:rsidR="007B00B9" w:rsidRPr="00EE0C7D">
        <w:rPr>
          <w:rFonts w:ascii="Arial" w:hAnsi="Arial" w:cs="Arial"/>
          <w:i/>
        </w:rPr>
        <w:t xml:space="preserve">very convenient </w:t>
      </w:r>
      <w:r w:rsidR="007B00B9" w:rsidRPr="00EE0C7D">
        <w:rPr>
          <w:rFonts w:ascii="Arial" w:hAnsi="Arial" w:cs="Arial"/>
          <w:i/>
        </w:rPr>
        <w:t xml:space="preserve">at </w:t>
      </w:r>
      <w:r w:rsidR="007B00B9" w:rsidRPr="00EE0C7D">
        <w:rPr>
          <w:rFonts w:ascii="Arial" w:hAnsi="Arial" w:cs="Arial"/>
          <w:i/>
        </w:rPr>
        <w:t xml:space="preserve">that </w:t>
      </w:r>
      <w:r w:rsidR="007B00B9" w:rsidRPr="00EE0C7D">
        <w:rPr>
          <w:rFonts w:ascii="Arial" w:hAnsi="Arial" w:cs="Arial"/>
          <w:i/>
        </w:rPr>
        <w:t>particular</w:t>
      </w:r>
      <w:r w:rsidR="007B00B9" w:rsidRPr="00EE0C7D">
        <w:rPr>
          <w:rFonts w:ascii="Arial" w:hAnsi="Arial" w:cs="Arial"/>
          <w:i/>
        </w:rPr>
        <w:t xml:space="preserve"> </w:t>
      </w:r>
      <w:r w:rsidR="007B00B9" w:rsidRPr="00EE0C7D">
        <w:rPr>
          <w:rFonts w:ascii="Arial" w:hAnsi="Arial" w:cs="Arial"/>
          <w:i/>
        </w:rPr>
        <w:t>time.</w:t>
      </w:r>
    </w:p>
    <w:p w:rsidR="00121842" w:rsidRPr="00EE0C7D" w:rsidRDefault="007B00B9" w:rsidP="00EE0C7D">
      <w:pPr>
        <w:tabs>
          <w:tab w:val="left" w:pos="2277"/>
        </w:tabs>
        <w:spacing w:before="201" w:line="360" w:lineRule="auto"/>
        <w:ind w:left="2272" w:right="133" w:hanging="718"/>
        <w:rPr>
          <w:rFonts w:ascii="Arial" w:hAnsi="Arial" w:cs="Arial"/>
        </w:rPr>
      </w:pPr>
      <w:r w:rsidRPr="00EE0C7D">
        <w:rPr>
          <w:rFonts w:ascii="Arial" w:hAnsi="Arial" w:cs="Arial"/>
          <w:i/>
        </w:rPr>
        <w:t>4.</w:t>
      </w:r>
      <w:r w:rsidRPr="00EE0C7D">
        <w:rPr>
          <w:rFonts w:ascii="Arial" w:hAnsi="Arial" w:cs="Arial"/>
          <w:i/>
        </w:rPr>
        <w:t xml:space="preserve"> </w:t>
      </w:r>
      <w:r w:rsidRPr="00EE0C7D">
        <w:rPr>
          <w:rFonts w:ascii="Arial" w:hAnsi="Arial" w:cs="Arial"/>
          <w:i/>
        </w:rPr>
        <w:t>3</w:t>
      </w:r>
      <w:r w:rsidRPr="00EE0C7D">
        <w:rPr>
          <w:rFonts w:ascii="Arial" w:hAnsi="Arial" w:cs="Arial"/>
          <w:i/>
        </w:rPr>
        <w:tab/>
      </w:r>
      <w:r w:rsidRPr="00EE0C7D">
        <w:rPr>
          <w:rFonts w:ascii="Arial" w:hAnsi="Arial" w:cs="Arial"/>
          <w:i/>
        </w:rPr>
        <w:tab/>
      </w:r>
      <w:proofErr w:type="gramStart"/>
      <w:r w:rsidRPr="00EE0C7D">
        <w:rPr>
          <w:rFonts w:ascii="Arial" w:hAnsi="Arial" w:cs="Arial"/>
          <w:i/>
        </w:rPr>
        <w:t>It</w:t>
      </w:r>
      <w:proofErr w:type="gramEnd"/>
      <w:r w:rsidRPr="00EE0C7D">
        <w:rPr>
          <w:rFonts w:ascii="Arial" w:hAnsi="Arial" w:cs="Arial"/>
          <w:i/>
        </w:rPr>
        <w:t xml:space="preserve"> is humbly submitted that this matter can still be disposed of</w:t>
      </w:r>
      <w:r w:rsidR="00EE0C7D">
        <w:rPr>
          <w:rFonts w:ascii="Arial" w:hAnsi="Arial" w:cs="Arial"/>
          <w:i/>
        </w:rPr>
        <w:t xml:space="preserve"> </w:t>
      </w:r>
      <w:r w:rsidRPr="00EE0C7D">
        <w:rPr>
          <w:rFonts w:ascii="Arial" w:hAnsi="Arial" w:cs="Arial"/>
          <w:i/>
        </w:rPr>
        <w:t>in</w:t>
      </w:r>
      <w:r w:rsidRPr="00EE0C7D">
        <w:rPr>
          <w:rFonts w:ascii="Arial" w:hAnsi="Arial" w:cs="Arial"/>
          <w:i/>
        </w:rPr>
        <w:t xml:space="preserve"> </w:t>
      </w:r>
      <w:r w:rsidRPr="00EE0C7D">
        <w:rPr>
          <w:rFonts w:ascii="Arial" w:hAnsi="Arial" w:cs="Arial"/>
          <w:i/>
        </w:rPr>
        <w:t>this</w:t>
      </w:r>
      <w:r w:rsidRPr="00EE0C7D">
        <w:rPr>
          <w:rFonts w:ascii="Arial" w:hAnsi="Arial" w:cs="Arial"/>
          <w:i/>
        </w:rPr>
        <w:t xml:space="preserve"> </w:t>
      </w:r>
      <w:r w:rsidRPr="00EE0C7D">
        <w:rPr>
          <w:rFonts w:ascii="Arial" w:hAnsi="Arial" w:cs="Arial"/>
          <w:i/>
        </w:rPr>
        <w:t>Registry.</w:t>
      </w:r>
      <w:r w:rsidRPr="00EE0C7D">
        <w:rPr>
          <w:rFonts w:ascii="Arial" w:hAnsi="Arial" w:cs="Arial"/>
          <w:i/>
        </w:rPr>
        <w:t xml:space="preserve"> </w:t>
      </w:r>
      <w:proofErr w:type="gramStart"/>
      <w:r w:rsidRPr="00EE0C7D">
        <w:rPr>
          <w:rFonts w:ascii="Arial" w:hAnsi="Arial" w:cs="Arial"/>
        </w:rPr>
        <w:t>"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-</w:t>
      </w:r>
      <w:proofErr w:type="gramEnd"/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Emphasis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underlining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supplied</w:t>
      </w:r>
    </w:p>
    <w:p w:rsidR="00121842" w:rsidRPr="00EE0C7D" w:rsidRDefault="007B00B9" w:rsidP="00EE0C7D">
      <w:pPr>
        <w:pStyle w:val="Heading1"/>
        <w:spacing w:before="211" w:line="360" w:lineRule="auto"/>
        <w:ind w:left="101" w:right="102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 xml:space="preserve">Based on his submissions, I am inclined to think that Counsel </w:t>
      </w:r>
      <w:proofErr w:type="spellStart"/>
      <w:r w:rsidRPr="00EE0C7D">
        <w:rPr>
          <w:rFonts w:ascii="Arial" w:hAnsi="Arial" w:cs="Arial"/>
          <w:sz w:val="22"/>
          <w:szCs w:val="22"/>
        </w:rPr>
        <w:t>Gondwe</w:t>
      </w:r>
      <w:proofErr w:type="spellEnd"/>
      <w:r w:rsidRPr="00EE0C7D">
        <w:rPr>
          <w:rFonts w:ascii="Arial" w:hAnsi="Arial" w:cs="Arial"/>
          <w:sz w:val="22"/>
          <w:szCs w:val="22"/>
        </w:rPr>
        <w:t xml:space="preserve"> is not yet aware of the enactment of Act No. 23 of 2016, namely, the Courts (Amendment) Act, 2016 [hereinafter referred to as the "</w:t>
      </w:r>
      <w:r w:rsidRPr="00EE0C7D">
        <w:rPr>
          <w:rFonts w:ascii="Arial" w:hAnsi="Arial" w:cs="Arial"/>
          <w:sz w:val="22"/>
          <w:szCs w:val="22"/>
        </w:rPr>
        <w:t xml:space="preserve">Amendment Act"]. Sections 2 and 3 of </w:t>
      </w:r>
      <w:r w:rsidRPr="00EE0C7D">
        <w:rPr>
          <w:rFonts w:ascii="Arial" w:hAnsi="Arial" w:cs="Arial"/>
          <w:sz w:val="22"/>
          <w:szCs w:val="22"/>
        </w:rPr>
        <w:t>the Amendment Act are relevant.</w:t>
      </w:r>
    </w:p>
    <w:p w:rsidR="00121842" w:rsidRPr="00EE0C7D" w:rsidRDefault="00121842" w:rsidP="00EE0C7D">
      <w:pPr>
        <w:pStyle w:val="BodyText"/>
        <w:spacing w:before="8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7B00B9" w:rsidP="00EE0C7D">
      <w:pPr>
        <w:spacing w:line="360" w:lineRule="auto"/>
        <w:ind w:left="103" w:right="124" w:firstLine="14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 xml:space="preserve">Section 2 of the Amendment Act amends section 2 of the Courts Act by inserting </w:t>
      </w:r>
      <w:r w:rsidRPr="00EE0C7D">
        <w:rPr>
          <w:rFonts w:ascii="Arial" w:hAnsi="Arial" w:cs="Arial"/>
        </w:rPr>
        <w:t>therein the following new definitions:</w:t>
      </w:r>
    </w:p>
    <w:p w:rsidR="00121842" w:rsidRPr="00EE0C7D" w:rsidRDefault="007B00B9" w:rsidP="00F259F6">
      <w:pPr>
        <w:pStyle w:val="BodyText"/>
        <w:spacing w:before="160" w:line="276" w:lineRule="auto"/>
        <w:ind w:left="818" w:firstLine="26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i w:val="0"/>
          <w:sz w:val="22"/>
          <w:szCs w:val="22"/>
        </w:rPr>
        <w:t>""</w:t>
      </w:r>
      <w:proofErr w:type="gramStart"/>
      <w:r w:rsidRPr="00EE0C7D">
        <w:rPr>
          <w:rFonts w:ascii="Arial" w:hAnsi="Arial" w:cs="Arial"/>
          <w:sz w:val="22"/>
          <w:szCs w:val="22"/>
        </w:rPr>
        <w:t>civil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matter"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means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civil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that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not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commercial,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criminal,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family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probate </w:t>
      </w:r>
      <w:r w:rsidRPr="00EE0C7D">
        <w:rPr>
          <w:rFonts w:ascii="Arial" w:hAnsi="Arial" w:cs="Arial"/>
          <w:sz w:val="22"/>
          <w:szCs w:val="22"/>
        </w:rPr>
        <w:t>matter";</w:t>
      </w:r>
    </w:p>
    <w:p w:rsidR="00121842" w:rsidRPr="00EE0C7D" w:rsidRDefault="007B00B9" w:rsidP="00F259F6">
      <w:pPr>
        <w:pStyle w:val="BodyText"/>
        <w:spacing w:before="125" w:line="276" w:lineRule="auto"/>
        <w:ind w:left="811" w:firstLine="55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"commercial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matter"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means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civil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commercial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significance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arising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out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or </w:t>
      </w:r>
      <w:r w:rsidRPr="00EE0C7D">
        <w:rPr>
          <w:rFonts w:ascii="Arial" w:hAnsi="Arial" w:cs="Arial"/>
          <w:sz w:val="22"/>
          <w:szCs w:val="22"/>
        </w:rPr>
        <w:t xml:space="preserve">connected with any relationship </w:t>
      </w:r>
      <w:r w:rsidRPr="00EE0C7D">
        <w:rPr>
          <w:rFonts w:ascii="Arial" w:hAnsi="Arial" w:cs="Arial"/>
          <w:sz w:val="22"/>
          <w:szCs w:val="22"/>
        </w:rPr>
        <w:t xml:space="preserve">of </w:t>
      </w:r>
      <w:r w:rsidRPr="00EE0C7D">
        <w:rPr>
          <w:rFonts w:ascii="Arial" w:hAnsi="Arial" w:cs="Arial"/>
          <w:sz w:val="22"/>
          <w:szCs w:val="22"/>
        </w:rPr>
        <w:t xml:space="preserve">commercial or business nature, whether contractual </w:t>
      </w:r>
      <w:r w:rsidRPr="00EE0C7D">
        <w:rPr>
          <w:rFonts w:ascii="Arial" w:hAnsi="Arial" w:cs="Arial"/>
          <w:sz w:val="22"/>
          <w:szCs w:val="22"/>
        </w:rPr>
        <w:t>or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not,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including-</w:t>
      </w:r>
    </w:p>
    <w:p w:rsidR="00105B01" w:rsidRDefault="00105B01" w:rsidP="00F259F6">
      <w:pPr>
        <w:pStyle w:val="BodyText"/>
        <w:spacing w:before="163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proofErr w:type="gramStart"/>
      <w:r w:rsidR="007B00B9" w:rsidRPr="00105B01">
        <w:rPr>
          <w:rFonts w:ascii="Arial" w:hAnsi="Arial" w:cs="Arial"/>
          <w:sz w:val="22"/>
          <w:szCs w:val="22"/>
        </w:rPr>
        <w:t>the</w:t>
      </w:r>
      <w:proofErr w:type="gramEnd"/>
      <w:r w:rsidR="007B00B9" w:rsidRPr="00105B01">
        <w:rPr>
          <w:rFonts w:ascii="Arial" w:hAnsi="Arial" w:cs="Arial"/>
          <w:sz w:val="22"/>
          <w:szCs w:val="22"/>
        </w:rPr>
        <w:t xml:space="preserve"> formation or governance of a business or commercial organization;</w:t>
      </w:r>
    </w:p>
    <w:p w:rsidR="00121842" w:rsidRDefault="007B00B9" w:rsidP="00F259F6">
      <w:pPr>
        <w:pStyle w:val="BodyText"/>
        <w:spacing w:before="121" w:line="276" w:lineRule="auto"/>
        <w:ind w:left="407" w:right="638" w:firstLine="1"/>
        <w:rPr>
          <w:rFonts w:ascii="Arial" w:hAnsi="Arial" w:cs="Arial"/>
          <w:sz w:val="22"/>
          <w:szCs w:val="22"/>
        </w:rPr>
      </w:pPr>
      <w:r w:rsidRPr="00105B01">
        <w:rPr>
          <w:rFonts w:ascii="Arial" w:hAnsi="Arial" w:cs="Arial"/>
          <w:sz w:val="22"/>
          <w:szCs w:val="22"/>
        </w:rPr>
        <w:t>(b)</w:t>
      </w:r>
      <w:r w:rsidR="00105B01">
        <w:rPr>
          <w:rFonts w:ascii="Arial" w:hAnsi="Arial" w:cs="Arial"/>
          <w:sz w:val="22"/>
          <w:szCs w:val="22"/>
        </w:rPr>
        <w:tab/>
      </w:r>
      <w:proofErr w:type="gramStart"/>
      <w:r w:rsidR="00105B01" w:rsidRPr="00EE0C7D">
        <w:rPr>
          <w:rFonts w:ascii="Arial" w:hAnsi="Arial" w:cs="Arial"/>
          <w:sz w:val="22"/>
          <w:szCs w:val="22"/>
        </w:rPr>
        <w:t>the</w:t>
      </w:r>
      <w:proofErr w:type="gramEnd"/>
      <w:r w:rsidR="00105B01" w:rsidRPr="00EE0C7D">
        <w:rPr>
          <w:rFonts w:ascii="Arial" w:hAnsi="Arial" w:cs="Arial"/>
          <w:sz w:val="22"/>
          <w:szCs w:val="22"/>
        </w:rPr>
        <w:t xml:space="preserve"> contractual relationship of a business or commercial organization; </w:t>
      </w:r>
    </w:p>
    <w:p w:rsidR="00F259F6" w:rsidRPr="00105B01" w:rsidRDefault="00F259F6" w:rsidP="00F259F6">
      <w:pPr>
        <w:pStyle w:val="BodyText"/>
        <w:spacing w:before="121" w:line="276" w:lineRule="auto"/>
        <w:ind w:left="407" w:right="638" w:firstLine="1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EE0C7D">
        <w:rPr>
          <w:rFonts w:ascii="Arial" w:hAnsi="Arial" w:cs="Arial"/>
          <w:sz w:val="22"/>
          <w:szCs w:val="22"/>
        </w:rPr>
        <w:t>liabilities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 arising from commercial or business transactions;</w:t>
      </w:r>
    </w:p>
    <w:p w:rsidR="00121842" w:rsidRPr="00EE0C7D" w:rsidRDefault="00F259F6" w:rsidP="00F259F6">
      <w:pPr>
        <w:pStyle w:val="BodyText"/>
        <w:spacing w:before="5" w:line="276" w:lineRule="auto"/>
        <w:ind w:left="406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(d)</w:t>
      </w:r>
      <w:r w:rsidRPr="00105B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5B01" w:rsidRPr="00EE0C7D">
        <w:rPr>
          <w:rFonts w:ascii="Arial" w:hAnsi="Arial" w:cs="Arial"/>
          <w:sz w:val="22"/>
          <w:szCs w:val="22"/>
        </w:rPr>
        <w:t>the</w:t>
      </w:r>
      <w:proofErr w:type="gramEnd"/>
      <w:r w:rsidR="00105B01" w:rsidRPr="00EE0C7D">
        <w:rPr>
          <w:rFonts w:ascii="Arial" w:hAnsi="Arial" w:cs="Arial"/>
          <w:sz w:val="22"/>
          <w:szCs w:val="22"/>
        </w:rPr>
        <w:t xml:space="preserve"> restructuring or payment of commercial debts;</w:t>
      </w:r>
    </w:p>
    <w:p w:rsidR="00121842" w:rsidRPr="00EE0C7D" w:rsidRDefault="00F259F6" w:rsidP="00F259F6">
      <w:pPr>
        <w:pStyle w:val="BodyText"/>
        <w:spacing w:before="119" w:line="276" w:lineRule="auto"/>
        <w:ind w:left="409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(e)</w:t>
      </w:r>
      <w:r w:rsidRPr="00105B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5B01" w:rsidRPr="00EE0C7D">
        <w:rPr>
          <w:rFonts w:ascii="Arial" w:hAnsi="Arial" w:cs="Arial"/>
          <w:sz w:val="22"/>
          <w:szCs w:val="22"/>
        </w:rPr>
        <w:t>the</w:t>
      </w:r>
      <w:proofErr w:type="gramEnd"/>
      <w:r w:rsidR="00105B01" w:rsidRPr="00EE0C7D">
        <w:rPr>
          <w:rFonts w:ascii="Arial" w:hAnsi="Arial" w:cs="Arial"/>
          <w:sz w:val="22"/>
          <w:szCs w:val="22"/>
        </w:rPr>
        <w:t xml:space="preserve"> winding up of companies or bankruptcy of persons;</w:t>
      </w:r>
    </w:p>
    <w:p w:rsidR="00121842" w:rsidRPr="00EE0C7D" w:rsidRDefault="00F259F6" w:rsidP="00F259F6">
      <w:pPr>
        <w:pStyle w:val="BodyText"/>
        <w:spacing w:before="120" w:line="276" w:lineRule="auto"/>
        <w:ind w:left="4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</w:rPr>
        <w:t>(f)</w:t>
      </w:r>
      <w:r w:rsidRPr="00105B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5B01" w:rsidRPr="00EE0C7D">
        <w:rPr>
          <w:rFonts w:ascii="Arial" w:hAnsi="Arial" w:cs="Arial"/>
          <w:sz w:val="22"/>
          <w:szCs w:val="22"/>
        </w:rPr>
        <w:t>the</w:t>
      </w:r>
      <w:proofErr w:type="gramEnd"/>
      <w:r w:rsidR="00105B01" w:rsidRPr="00EE0C7D">
        <w:rPr>
          <w:rFonts w:ascii="Arial" w:hAnsi="Arial" w:cs="Arial"/>
          <w:sz w:val="22"/>
          <w:szCs w:val="22"/>
        </w:rPr>
        <w:t xml:space="preserve"> enforcement or review of commercial arbitration award,·</w:t>
      </w:r>
    </w:p>
    <w:p w:rsidR="00121842" w:rsidRPr="00EE0C7D" w:rsidRDefault="00F259F6" w:rsidP="00F259F6">
      <w:pPr>
        <w:pStyle w:val="BodyText"/>
        <w:spacing w:before="120" w:line="276" w:lineRule="auto"/>
        <w:ind w:left="407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(g) </w:t>
      </w:r>
      <w:proofErr w:type="gramStart"/>
      <w:r w:rsidR="00105B01" w:rsidRPr="00EE0C7D">
        <w:rPr>
          <w:rFonts w:ascii="Arial" w:hAnsi="Arial" w:cs="Arial"/>
          <w:sz w:val="22"/>
          <w:szCs w:val="22"/>
        </w:rPr>
        <w:t>the</w:t>
      </w:r>
      <w:proofErr w:type="gramEnd"/>
      <w:r w:rsidR="00105B01" w:rsidRPr="00EE0C7D">
        <w:rPr>
          <w:rFonts w:ascii="Arial" w:hAnsi="Arial" w:cs="Arial"/>
          <w:sz w:val="22"/>
          <w:szCs w:val="22"/>
        </w:rPr>
        <w:t xml:space="preserve"> enforcement of foreign judgments of commercial matters subject to the provisions of the law;</w:t>
      </w:r>
    </w:p>
    <w:p w:rsidR="00105B01" w:rsidRPr="00EE0C7D" w:rsidRDefault="00F259F6" w:rsidP="00F259F6">
      <w:pPr>
        <w:pStyle w:val="BodyText"/>
        <w:spacing w:before="120" w:line="276" w:lineRule="auto"/>
        <w:ind w:left="409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(h)</w:t>
      </w:r>
      <w:r w:rsidRPr="00F259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5B01" w:rsidRPr="00EE0C7D">
        <w:rPr>
          <w:rFonts w:ascii="Arial" w:hAnsi="Arial" w:cs="Arial"/>
          <w:sz w:val="22"/>
          <w:szCs w:val="22"/>
        </w:rPr>
        <w:t>the</w:t>
      </w:r>
      <w:proofErr w:type="gramEnd"/>
      <w:r w:rsidR="00105B01" w:rsidRPr="00EE0C7D">
        <w:rPr>
          <w:rFonts w:ascii="Arial" w:hAnsi="Arial" w:cs="Arial"/>
          <w:sz w:val="22"/>
          <w:szCs w:val="22"/>
        </w:rPr>
        <w:t xml:space="preserve"> supply or exchange of goods and services;</w:t>
      </w:r>
    </w:p>
    <w:p w:rsidR="00F259F6" w:rsidRPr="00EE0C7D" w:rsidRDefault="00F259F6" w:rsidP="00F259F6">
      <w:pPr>
        <w:pStyle w:val="BodyText"/>
        <w:spacing w:line="276" w:lineRule="auto"/>
        <w:ind w:left="426" w:right="3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(</w:t>
      </w:r>
      <w:proofErr w:type="spellStart"/>
      <w:r w:rsidRPr="00EE0C7D">
        <w:rPr>
          <w:rFonts w:ascii="Arial" w:hAnsi="Arial" w:cs="Arial"/>
          <w:sz w:val="22"/>
          <w:szCs w:val="22"/>
        </w:rPr>
        <w:t>i</w:t>
      </w:r>
      <w:proofErr w:type="spellEnd"/>
      <w:r w:rsidRPr="00EE0C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EE0C7D">
        <w:rPr>
          <w:rFonts w:ascii="Arial" w:hAnsi="Arial" w:cs="Arial"/>
          <w:sz w:val="22"/>
          <w:szCs w:val="22"/>
        </w:rPr>
        <w:t>banking</w:t>
      </w:r>
      <w:proofErr w:type="gramEnd"/>
      <w:r w:rsidRPr="00EE0C7D">
        <w:rPr>
          <w:rFonts w:ascii="Arial" w:hAnsi="Arial" w:cs="Arial"/>
          <w:sz w:val="22"/>
          <w:szCs w:val="22"/>
        </w:rPr>
        <w:t>, negotiable instruments, international credit and similar</w:t>
      </w:r>
      <w:r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financial services;</w:t>
      </w:r>
    </w:p>
    <w:p w:rsidR="00121842" w:rsidRPr="00EE0C7D" w:rsidRDefault="00F259F6" w:rsidP="00F259F6">
      <w:pPr>
        <w:pStyle w:val="BodyText"/>
        <w:spacing w:before="121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7B00B9" w:rsidRPr="00EE0C7D">
        <w:rPr>
          <w:rFonts w:ascii="Arial" w:hAnsi="Arial" w:cs="Arial"/>
          <w:sz w:val="22"/>
          <w:szCs w:val="22"/>
        </w:rPr>
        <w:t>insurance</w:t>
      </w:r>
      <w:proofErr w:type="gramEnd"/>
      <w:r w:rsidR="007B00B9" w:rsidRPr="00EE0C7D">
        <w:rPr>
          <w:rFonts w:ascii="Arial" w:hAnsi="Arial" w:cs="Arial"/>
          <w:sz w:val="22"/>
          <w:szCs w:val="22"/>
        </w:rPr>
        <w:t xml:space="preserve"> services,· or</w:t>
      </w:r>
    </w:p>
    <w:p w:rsidR="00121842" w:rsidRPr="00EE0C7D" w:rsidRDefault="00121842" w:rsidP="00EE0C7D">
      <w:pPr>
        <w:spacing w:line="360" w:lineRule="auto"/>
        <w:rPr>
          <w:rFonts w:ascii="Arial" w:hAnsi="Arial" w:cs="Arial"/>
        </w:rPr>
        <w:sectPr w:rsidR="00121842" w:rsidRPr="00EE0C7D" w:rsidSect="00105B01">
          <w:footerReference w:type="default" r:id="rId13"/>
          <w:type w:val="continuous"/>
          <w:pgSz w:w="12250" w:h="16870"/>
          <w:pgMar w:top="780" w:right="1060" w:bottom="2900" w:left="1480" w:header="720" w:footer="720" w:gutter="0"/>
          <w:cols w:space="720"/>
        </w:sectPr>
      </w:pPr>
    </w:p>
    <w:p w:rsidR="00121842" w:rsidRPr="00EE0C7D" w:rsidRDefault="007B00B9" w:rsidP="00F259F6">
      <w:pPr>
        <w:pStyle w:val="BodyText"/>
        <w:tabs>
          <w:tab w:val="left" w:pos="1557"/>
        </w:tabs>
        <w:spacing w:before="243" w:line="276" w:lineRule="auto"/>
        <w:ind w:left="844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lastRenderedPageBreak/>
        <w:t>(k)</w:t>
      </w:r>
      <w:r w:rsidRPr="00EE0C7D">
        <w:rPr>
          <w:rFonts w:ascii="Arial" w:hAnsi="Arial" w:cs="Arial"/>
          <w:sz w:val="22"/>
          <w:szCs w:val="22"/>
        </w:rPr>
        <w:tab/>
      </w:r>
      <w:proofErr w:type="gramStart"/>
      <w:r w:rsidRPr="00EE0C7D">
        <w:rPr>
          <w:rFonts w:ascii="Arial" w:hAnsi="Arial" w:cs="Arial"/>
          <w:sz w:val="22"/>
          <w:szCs w:val="22"/>
        </w:rPr>
        <w:t>the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operation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stock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foreign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exchange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markets,</w:t>
      </w:r>
    </w:p>
    <w:p w:rsidR="00121842" w:rsidRPr="00EE0C7D" w:rsidRDefault="007B00B9" w:rsidP="00F259F6">
      <w:pPr>
        <w:pStyle w:val="BodyText"/>
        <w:spacing w:before="99" w:line="276" w:lineRule="auto"/>
        <w:ind w:left="835" w:right="72" w:firstLine="4"/>
        <w:rPr>
          <w:rFonts w:ascii="Arial" w:hAnsi="Arial" w:cs="Arial"/>
          <w:sz w:val="22"/>
          <w:szCs w:val="22"/>
        </w:rPr>
      </w:pPr>
      <w:proofErr w:type="gramStart"/>
      <w:r w:rsidRPr="00EE0C7D">
        <w:rPr>
          <w:rFonts w:ascii="Arial" w:hAnsi="Arial" w:cs="Arial"/>
          <w:sz w:val="22"/>
          <w:szCs w:val="22"/>
        </w:rPr>
        <w:t>in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 the event of doubt as to whether a matter is commercial or not, the</w:t>
      </w:r>
      <w:r w:rsidR="00F259F6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judge at the outset </w:t>
      </w:r>
      <w:r w:rsidRPr="00EE0C7D">
        <w:rPr>
          <w:rFonts w:ascii="Arial" w:hAnsi="Arial" w:cs="Arial"/>
          <w:sz w:val="22"/>
          <w:szCs w:val="22"/>
        </w:rPr>
        <w:t>or during the course of the action, shall have power to resolve the issue";</w:t>
      </w:r>
    </w:p>
    <w:p w:rsidR="00121842" w:rsidRPr="00EE0C7D" w:rsidRDefault="007B00B9" w:rsidP="00F259F6">
      <w:pPr>
        <w:pStyle w:val="BodyText"/>
        <w:spacing w:before="195" w:line="276" w:lineRule="auto"/>
        <w:ind w:left="839" w:firstLine="35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</w:t>
      </w:r>
      <w:proofErr w:type="gramStart"/>
      <w:r w:rsidRPr="00EE0C7D">
        <w:rPr>
          <w:rFonts w:ascii="Arial" w:hAnsi="Arial" w:cs="Arial"/>
          <w:sz w:val="22"/>
          <w:szCs w:val="22"/>
        </w:rPr>
        <w:t>criminal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 matter" </w:t>
      </w:r>
      <w:r w:rsidRPr="00EE0C7D">
        <w:rPr>
          <w:rFonts w:ascii="Arial" w:hAnsi="Arial" w:cs="Arial"/>
          <w:sz w:val="22"/>
          <w:szCs w:val="22"/>
        </w:rPr>
        <w:t xml:space="preserve">means </w:t>
      </w:r>
      <w:r w:rsidRPr="00EE0C7D">
        <w:rPr>
          <w:rFonts w:ascii="Arial" w:hAnsi="Arial" w:cs="Arial"/>
          <w:sz w:val="22"/>
          <w:szCs w:val="22"/>
        </w:rPr>
        <w:t xml:space="preserve">a </w:t>
      </w:r>
      <w:r w:rsidRPr="00EE0C7D">
        <w:rPr>
          <w:rFonts w:ascii="Arial" w:hAnsi="Arial" w:cs="Arial"/>
          <w:sz w:val="22"/>
          <w:szCs w:val="22"/>
        </w:rPr>
        <w:t xml:space="preserve">matter </w:t>
      </w:r>
      <w:r w:rsidRPr="00EE0C7D">
        <w:rPr>
          <w:rFonts w:ascii="Arial" w:hAnsi="Arial" w:cs="Arial"/>
          <w:sz w:val="22"/>
          <w:szCs w:val="22"/>
        </w:rPr>
        <w:t>req</w:t>
      </w:r>
      <w:r w:rsidRPr="00EE0C7D">
        <w:rPr>
          <w:rFonts w:ascii="Arial" w:hAnsi="Arial" w:cs="Arial"/>
          <w:sz w:val="22"/>
          <w:szCs w:val="22"/>
        </w:rPr>
        <w:t xml:space="preserve">uiring a </w:t>
      </w:r>
      <w:r w:rsidRPr="00EE0C7D">
        <w:rPr>
          <w:rFonts w:ascii="Arial" w:hAnsi="Arial" w:cs="Arial"/>
          <w:sz w:val="22"/>
          <w:szCs w:val="22"/>
        </w:rPr>
        <w:t xml:space="preserve">person </w:t>
      </w:r>
      <w:r w:rsidRPr="00EE0C7D">
        <w:rPr>
          <w:rFonts w:ascii="Arial" w:hAnsi="Arial" w:cs="Arial"/>
          <w:sz w:val="22"/>
          <w:szCs w:val="22"/>
        </w:rPr>
        <w:t xml:space="preserve">to answer </w:t>
      </w:r>
      <w:r w:rsidRPr="00EE0C7D">
        <w:rPr>
          <w:rFonts w:ascii="Arial" w:hAnsi="Arial" w:cs="Arial"/>
          <w:sz w:val="22"/>
          <w:szCs w:val="22"/>
        </w:rPr>
        <w:t>for an offence under any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written law other than revenue law;</w:t>
      </w:r>
    </w:p>
    <w:p w:rsidR="00121842" w:rsidRPr="00EE0C7D" w:rsidRDefault="007B00B9" w:rsidP="00F259F6">
      <w:pPr>
        <w:pStyle w:val="BodyText"/>
        <w:spacing w:before="196" w:line="276" w:lineRule="auto"/>
        <w:ind w:left="836" w:right="153" w:firstLine="38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</w:t>
      </w:r>
      <w:proofErr w:type="gramStart"/>
      <w:r w:rsidRPr="00EE0C7D">
        <w:rPr>
          <w:rFonts w:ascii="Arial" w:hAnsi="Arial" w:cs="Arial"/>
          <w:sz w:val="22"/>
          <w:szCs w:val="22"/>
        </w:rPr>
        <w:t>family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 matter" means a civil matter which concerns the entry,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subsistence and exit from </w:t>
      </w:r>
      <w:r w:rsidRPr="00EE0C7D">
        <w:rPr>
          <w:rFonts w:ascii="Arial" w:hAnsi="Arial" w:cs="Arial"/>
          <w:sz w:val="22"/>
          <w:szCs w:val="22"/>
        </w:rPr>
        <w:t>a marriage,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and incidental matters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thereto;</w:t>
      </w:r>
    </w:p>
    <w:p w:rsidR="00121842" w:rsidRPr="00EE0C7D" w:rsidRDefault="007B00B9" w:rsidP="00F259F6">
      <w:pPr>
        <w:pStyle w:val="BodyText"/>
        <w:spacing w:before="188" w:line="276" w:lineRule="auto"/>
        <w:ind w:left="830" w:firstLine="38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''probate matter"</w:t>
      </w:r>
      <w:r w:rsidRPr="00EE0C7D">
        <w:rPr>
          <w:rFonts w:ascii="Arial" w:hAnsi="Arial" w:cs="Arial"/>
          <w:sz w:val="22"/>
          <w:szCs w:val="22"/>
        </w:rPr>
        <w:t xml:space="preserve"> means a civil matter which concerns succession to or inheritance </w:t>
      </w:r>
      <w:r w:rsidRPr="00EE0C7D">
        <w:rPr>
          <w:rFonts w:ascii="Arial" w:hAnsi="Arial" w:cs="Arial"/>
          <w:sz w:val="22"/>
          <w:szCs w:val="22"/>
        </w:rPr>
        <w:t xml:space="preserve">of </w:t>
      </w:r>
      <w:r w:rsidRPr="00EE0C7D">
        <w:rPr>
          <w:rFonts w:ascii="Arial" w:hAnsi="Arial" w:cs="Arial"/>
          <w:sz w:val="22"/>
          <w:szCs w:val="22"/>
        </w:rPr>
        <w:t>property and incidental matters;</w:t>
      </w:r>
    </w:p>
    <w:p w:rsidR="00121842" w:rsidRPr="00EE0C7D" w:rsidRDefault="007B00B9" w:rsidP="00F259F6">
      <w:pPr>
        <w:pStyle w:val="BodyText"/>
        <w:spacing w:before="166" w:line="276" w:lineRule="auto"/>
        <w:ind w:left="865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</w:t>
      </w:r>
      <w:proofErr w:type="gramStart"/>
      <w:r w:rsidRPr="00EE0C7D">
        <w:rPr>
          <w:rFonts w:ascii="Arial" w:hAnsi="Arial" w:cs="Arial"/>
          <w:sz w:val="22"/>
          <w:szCs w:val="22"/>
        </w:rPr>
        <w:t>revenue</w:t>
      </w:r>
      <w:proofErr w:type="gramEnd"/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matter" means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civil or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criminal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which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concerns taxes,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duties, fees,</w:t>
      </w:r>
    </w:p>
    <w:p w:rsidR="00121842" w:rsidRPr="00EE0C7D" w:rsidRDefault="007B00B9" w:rsidP="00F259F6">
      <w:pPr>
        <w:pStyle w:val="BodyText"/>
        <w:spacing w:before="121" w:line="276" w:lineRule="auto"/>
        <w:ind w:left="830" w:right="153" w:hanging="1"/>
        <w:rPr>
          <w:rFonts w:ascii="Arial" w:hAnsi="Arial" w:cs="Arial"/>
          <w:i w:val="0"/>
          <w:sz w:val="22"/>
          <w:szCs w:val="22"/>
        </w:rPr>
      </w:pPr>
      <w:proofErr w:type="gramStart"/>
      <w:r w:rsidRPr="00EE0C7D">
        <w:rPr>
          <w:rFonts w:ascii="Arial" w:hAnsi="Arial" w:cs="Arial"/>
          <w:sz w:val="22"/>
          <w:szCs w:val="22"/>
        </w:rPr>
        <w:t>levies</w:t>
      </w:r>
      <w:proofErr w:type="gramEnd"/>
      <w:r w:rsidRPr="00EE0C7D">
        <w:rPr>
          <w:rFonts w:ascii="Arial" w:hAnsi="Arial" w:cs="Arial"/>
          <w:sz w:val="22"/>
          <w:szCs w:val="22"/>
        </w:rPr>
        <w:t xml:space="preserve">, fines or other monies imposed by or collected under </w:t>
      </w:r>
      <w:r w:rsidRPr="00EE0C7D">
        <w:rPr>
          <w:rFonts w:ascii="Arial" w:hAnsi="Arial" w:cs="Arial"/>
          <w:sz w:val="22"/>
          <w:szCs w:val="22"/>
        </w:rPr>
        <w:t xml:space="preserve">the written laws set out under </w:t>
      </w:r>
      <w:r w:rsidRPr="00EE0C7D">
        <w:rPr>
          <w:rFonts w:ascii="Arial" w:hAnsi="Arial" w:cs="Arial"/>
          <w:sz w:val="22"/>
          <w:szCs w:val="22"/>
        </w:rPr>
        <w:t xml:space="preserve">the Malawi Revenue Authority Act. </w:t>
      </w:r>
      <w:r w:rsidRPr="00EE0C7D">
        <w:rPr>
          <w:rFonts w:ascii="Arial" w:hAnsi="Arial" w:cs="Arial"/>
          <w:i w:val="0"/>
          <w:sz w:val="22"/>
          <w:szCs w:val="22"/>
        </w:rPr>
        <w:t>"</w:t>
      </w:r>
    </w:p>
    <w:p w:rsidR="00121842" w:rsidRPr="00EE0C7D" w:rsidRDefault="007B00B9" w:rsidP="00EE0C7D">
      <w:pPr>
        <w:spacing w:before="205" w:line="360" w:lineRule="auto"/>
        <w:ind w:left="106" w:right="153" w:firstLine="17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>Section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3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Amendment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Act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amends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Courts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Act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inserting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Courts Court, immediately after section </w:t>
      </w:r>
      <w:r w:rsidRPr="00EE0C7D">
        <w:rPr>
          <w:rFonts w:ascii="Arial" w:hAnsi="Arial" w:cs="Arial"/>
        </w:rPr>
        <w:t xml:space="preserve">6, </w:t>
      </w:r>
      <w:r w:rsidRPr="00EE0C7D">
        <w:rPr>
          <w:rFonts w:ascii="Arial" w:hAnsi="Arial" w:cs="Arial"/>
        </w:rPr>
        <w:t xml:space="preserve">a </w:t>
      </w:r>
      <w:r w:rsidRPr="00EE0C7D">
        <w:rPr>
          <w:rFonts w:ascii="Arial" w:hAnsi="Arial" w:cs="Arial"/>
        </w:rPr>
        <w:t xml:space="preserve">new </w:t>
      </w:r>
      <w:r w:rsidRPr="00EE0C7D">
        <w:rPr>
          <w:rFonts w:ascii="Arial" w:hAnsi="Arial" w:cs="Arial"/>
        </w:rPr>
        <w:t xml:space="preserve">section </w:t>
      </w:r>
      <w:r w:rsidRPr="00EE0C7D">
        <w:rPr>
          <w:rFonts w:ascii="Arial" w:hAnsi="Arial" w:cs="Arial"/>
        </w:rPr>
        <w:t xml:space="preserve">6A </w:t>
      </w:r>
      <w:r w:rsidRPr="00EE0C7D">
        <w:rPr>
          <w:rFonts w:ascii="Arial" w:hAnsi="Arial" w:cs="Arial"/>
        </w:rPr>
        <w:t>which establishes, in subsection</w:t>
      </w:r>
      <w:r w:rsidRPr="00EE0C7D">
        <w:rPr>
          <w:rFonts w:ascii="Arial" w:hAnsi="Arial" w:cs="Arial"/>
        </w:rPr>
        <w:t xml:space="preserve"> </w:t>
      </w:r>
      <w:proofErr w:type="gramStart"/>
      <w:r w:rsidRPr="00EE0C7D">
        <w:rPr>
          <w:rFonts w:ascii="Arial" w:hAnsi="Arial" w:cs="Arial"/>
        </w:rPr>
        <w:t>(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1</w:t>
      </w:r>
      <w:proofErr w:type="gramEnd"/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)</w:t>
      </w:r>
      <w:r w:rsidRPr="00EE0C7D">
        <w:rPr>
          <w:rFonts w:ascii="Arial" w:hAnsi="Arial" w:cs="Arial"/>
        </w:rPr>
        <w:t>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five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divisions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High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Court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follows:</w:t>
      </w:r>
    </w:p>
    <w:p w:rsidR="00121842" w:rsidRPr="00EE0C7D" w:rsidRDefault="00EE0C7D" w:rsidP="00EE0C7D">
      <w:pPr>
        <w:tabs>
          <w:tab w:val="left" w:pos="1549"/>
          <w:tab w:val="left" w:pos="1550"/>
        </w:tabs>
        <w:spacing w:before="192" w:line="360" w:lineRule="auto"/>
        <w:ind w:left="1556" w:right="156" w:hanging="724"/>
        <w:rPr>
          <w:rFonts w:ascii="Arial" w:hAnsi="Arial" w:cs="Arial"/>
        </w:rPr>
      </w:pPr>
      <w:r w:rsidRPr="00EE0C7D">
        <w:rPr>
          <w:rFonts w:ascii="Arial" w:hAnsi="Arial" w:cs="Arial"/>
        </w:rPr>
        <w:t>(a)</w:t>
      </w:r>
      <w:r w:rsidRPr="00EE0C7D">
        <w:rPr>
          <w:rFonts w:ascii="Arial" w:hAnsi="Arial" w:cs="Arial"/>
        </w:rPr>
        <w:tab/>
      </w:r>
      <w:proofErr w:type="gramStart"/>
      <w:r w:rsidR="007B00B9" w:rsidRPr="00EE0C7D">
        <w:rPr>
          <w:rFonts w:ascii="Arial" w:hAnsi="Arial" w:cs="Arial"/>
        </w:rPr>
        <w:t>the</w:t>
      </w:r>
      <w:proofErr w:type="gramEnd"/>
      <w:r w:rsidR="007B00B9" w:rsidRPr="00EE0C7D">
        <w:rPr>
          <w:rFonts w:ascii="Arial" w:hAnsi="Arial" w:cs="Arial"/>
        </w:rPr>
        <w:t xml:space="preserve"> Civil Division which shall hear civil matters </w:t>
      </w:r>
      <w:r w:rsidR="007B00B9" w:rsidRPr="00EE0C7D">
        <w:rPr>
          <w:rFonts w:ascii="Arial" w:hAnsi="Arial" w:cs="Arial"/>
        </w:rPr>
        <w:t xml:space="preserve">not </w:t>
      </w:r>
      <w:r w:rsidR="007B00B9" w:rsidRPr="00EE0C7D">
        <w:rPr>
          <w:rFonts w:ascii="Arial" w:hAnsi="Arial" w:cs="Arial"/>
        </w:rPr>
        <w:t xml:space="preserve">provided </w:t>
      </w:r>
      <w:r w:rsidR="007B00B9" w:rsidRPr="00EE0C7D">
        <w:rPr>
          <w:rFonts w:ascii="Arial" w:hAnsi="Arial" w:cs="Arial"/>
        </w:rPr>
        <w:t xml:space="preserve">for </w:t>
      </w:r>
      <w:r w:rsidR="007B00B9" w:rsidRPr="00EE0C7D">
        <w:rPr>
          <w:rFonts w:ascii="Arial" w:hAnsi="Arial" w:cs="Arial"/>
        </w:rPr>
        <w:t>under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another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Division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of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the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High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Court;</w:t>
      </w:r>
    </w:p>
    <w:p w:rsidR="00121842" w:rsidRPr="00EE0C7D" w:rsidRDefault="00121842" w:rsidP="00EE0C7D">
      <w:pPr>
        <w:pStyle w:val="BodyText"/>
        <w:spacing w:before="10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EE0C7D" w:rsidP="00EE0C7D">
      <w:pPr>
        <w:tabs>
          <w:tab w:val="left" w:pos="1550"/>
          <w:tab w:val="left" w:pos="1551"/>
        </w:tabs>
        <w:spacing w:line="360" w:lineRule="auto"/>
        <w:ind w:left="1550" w:hanging="714"/>
        <w:rPr>
          <w:rFonts w:ascii="Arial" w:hAnsi="Arial" w:cs="Arial"/>
        </w:rPr>
      </w:pPr>
      <w:r w:rsidRPr="00EE0C7D">
        <w:rPr>
          <w:rFonts w:ascii="Arial" w:hAnsi="Arial" w:cs="Arial"/>
        </w:rPr>
        <w:t>(b)</w:t>
      </w:r>
      <w:r w:rsidRPr="00EE0C7D">
        <w:rPr>
          <w:rFonts w:ascii="Arial" w:hAnsi="Arial" w:cs="Arial"/>
        </w:rPr>
        <w:tab/>
      </w:r>
      <w:proofErr w:type="gramStart"/>
      <w:r w:rsidR="007B00B9" w:rsidRPr="00EE0C7D">
        <w:rPr>
          <w:rFonts w:ascii="Arial" w:hAnsi="Arial" w:cs="Arial"/>
        </w:rPr>
        <w:t>the</w:t>
      </w:r>
      <w:proofErr w:type="gramEnd"/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Commercial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Division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which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shall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hear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any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commercial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matter;</w:t>
      </w:r>
    </w:p>
    <w:p w:rsidR="00121842" w:rsidRPr="00EE0C7D" w:rsidRDefault="00EE0C7D" w:rsidP="00EE0C7D">
      <w:pPr>
        <w:tabs>
          <w:tab w:val="left" w:pos="1550"/>
          <w:tab w:val="left" w:pos="1551"/>
        </w:tabs>
        <w:spacing w:before="129" w:line="360" w:lineRule="auto"/>
        <w:ind w:left="1550" w:hanging="714"/>
        <w:rPr>
          <w:rFonts w:ascii="Arial" w:hAnsi="Arial" w:cs="Arial"/>
        </w:rPr>
      </w:pPr>
      <w:r w:rsidRPr="00EE0C7D">
        <w:rPr>
          <w:rFonts w:ascii="Arial" w:hAnsi="Arial" w:cs="Arial"/>
        </w:rPr>
        <w:t>(c)</w:t>
      </w:r>
      <w:r w:rsidRPr="00EE0C7D">
        <w:rPr>
          <w:rFonts w:ascii="Arial" w:hAnsi="Arial" w:cs="Arial"/>
        </w:rPr>
        <w:tab/>
      </w:r>
      <w:proofErr w:type="gramStart"/>
      <w:r w:rsidR="007B00B9" w:rsidRPr="00EE0C7D">
        <w:rPr>
          <w:rFonts w:ascii="Arial" w:hAnsi="Arial" w:cs="Arial"/>
        </w:rPr>
        <w:t>the</w:t>
      </w:r>
      <w:proofErr w:type="gramEnd"/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Criminal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Division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which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shall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hear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any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criminal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matter;</w:t>
      </w:r>
    </w:p>
    <w:p w:rsidR="00121842" w:rsidRPr="00EE0C7D" w:rsidRDefault="00EE0C7D" w:rsidP="00EE0C7D">
      <w:pPr>
        <w:tabs>
          <w:tab w:val="left" w:pos="1550"/>
          <w:tab w:val="left" w:pos="1551"/>
        </w:tabs>
        <w:spacing w:before="297" w:line="360" w:lineRule="auto"/>
        <w:ind w:left="1544" w:right="148" w:hanging="712"/>
        <w:rPr>
          <w:rFonts w:ascii="Arial" w:hAnsi="Arial" w:cs="Arial"/>
        </w:rPr>
      </w:pPr>
      <w:r w:rsidRPr="00EE0C7D">
        <w:rPr>
          <w:rFonts w:ascii="Arial" w:hAnsi="Arial" w:cs="Arial"/>
        </w:rPr>
        <w:t>(d)</w:t>
      </w:r>
      <w:r w:rsidRPr="00EE0C7D">
        <w:rPr>
          <w:rFonts w:ascii="Arial" w:hAnsi="Arial" w:cs="Arial"/>
        </w:rPr>
        <w:tab/>
      </w:r>
      <w:proofErr w:type="gramStart"/>
      <w:r w:rsidR="007B00B9" w:rsidRPr="00EE0C7D">
        <w:rPr>
          <w:rFonts w:ascii="Arial" w:hAnsi="Arial" w:cs="Arial"/>
        </w:rPr>
        <w:t>the</w:t>
      </w:r>
      <w:proofErr w:type="gramEnd"/>
      <w:r w:rsidR="007B00B9" w:rsidRPr="00EE0C7D">
        <w:rPr>
          <w:rFonts w:ascii="Arial" w:hAnsi="Arial" w:cs="Arial"/>
        </w:rPr>
        <w:t xml:space="preserve"> Family and Probate Division which shall hear any family or </w:t>
      </w:r>
      <w:r w:rsidR="007B00B9" w:rsidRPr="00EE0C7D">
        <w:rPr>
          <w:rFonts w:ascii="Arial" w:hAnsi="Arial" w:cs="Arial"/>
        </w:rPr>
        <w:t>probate matter;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and</w:t>
      </w:r>
    </w:p>
    <w:p w:rsidR="00121842" w:rsidRPr="00EE0C7D" w:rsidRDefault="00EE0C7D" w:rsidP="00EE0C7D">
      <w:pPr>
        <w:tabs>
          <w:tab w:val="left" w:pos="1545"/>
          <w:tab w:val="left" w:pos="1546"/>
        </w:tabs>
        <w:spacing w:before="184" w:line="360" w:lineRule="auto"/>
        <w:ind w:left="1545" w:hanging="709"/>
        <w:rPr>
          <w:rFonts w:ascii="Arial" w:hAnsi="Arial" w:cs="Arial"/>
        </w:rPr>
      </w:pPr>
      <w:r w:rsidRPr="00EE0C7D">
        <w:rPr>
          <w:rFonts w:ascii="Arial" w:hAnsi="Arial" w:cs="Arial"/>
        </w:rPr>
        <w:t>(e)</w:t>
      </w:r>
      <w:r w:rsidRPr="00EE0C7D">
        <w:rPr>
          <w:rFonts w:ascii="Arial" w:hAnsi="Arial" w:cs="Arial"/>
        </w:rPr>
        <w:tab/>
      </w:r>
      <w:proofErr w:type="gramStart"/>
      <w:r w:rsidR="007B00B9" w:rsidRPr="00EE0C7D">
        <w:rPr>
          <w:rFonts w:ascii="Arial" w:hAnsi="Arial" w:cs="Arial"/>
        </w:rPr>
        <w:t>the</w:t>
      </w:r>
      <w:proofErr w:type="gramEnd"/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Revenue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Division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which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shall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hear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any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revenue</w:t>
      </w:r>
      <w:r w:rsidR="007B00B9" w:rsidRPr="00EE0C7D">
        <w:rPr>
          <w:rFonts w:ascii="Arial" w:hAnsi="Arial" w:cs="Arial"/>
        </w:rPr>
        <w:t xml:space="preserve"> </w:t>
      </w:r>
      <w:r w:rsidR="007B00B9" w:rsidRPr="00EE0C7D">
        <w:rPr>
          <w:rFonts w:ascii="Arial" w:hAnsi="Arial" w:cs="Arial"/>
        </w:rPr>
        <w:t>matter.</w:t>
      </w:r>
    </w:p>
    <w:p w:rsidR="00121842" w:rsidRPr="00EE0C7D" w:rsidRDefault="00121842" w:rsidP="00EE0C7D">
      <w:pPr>
        <w:pStyle w:val="BodyText"/>
        <w:spacing w:before="7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7B00B9" w:rsidP="00EE0C7D">
      <w:pPr>
        <w:spacing w:line="360" w:lineRule="auto"/>
        <w:ind w:left="117"/>
        <w:rPr>
          <w:rFonts w:ascii="Arial" w:hAnsi="Arial" w:cs="Arial"/>
        </w:rPr>
      </w:pPr>
      <w:r w:rsidRPr="00EE0C7D">
        <w:rPr>
          <w:rFonts w:ascii="Arial" w:hAnsi="Arial" w:cs="Arial"/>
        </w:rPr>
        <w:t>Section 6A of the Courts Act also contains the following subsections:</w:t>
      </w:r>
    </w:p>
    <w:p w:rsidR="00121842" w:rsidRPr="00EE0C7D" w:rsidRDefault="007B00B9" w:rsidP="00EE0C7D">
      <w:pPr>
        <w:pStyle w:val="BodyText"/>
        <w:tabs>
          <w:tab w:val="left" w:pos="1573"/>
        </w:tabs>
        <w:spacing w:before="316" w:line="360" w:lineRule="auto"/>
        <w:ind w:left="1548" w:right="153" w:hanging="678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"(2)</w:t>
      </w:r>
      <w:r w:rsidRPr="00EE0C7D">
        <w:rPr>
          <w:rFonts w:ascii="Arial" w:hAnsi="Arial" w:cs="Arial"/>
          <w:sz w:val="22"/>
          <w:szCs w:val="22"/>
        </w:rPr>
        <w:tab/>
      </w:r>
      <w:r w:rsidRPr="00EE0C7D">
        <w:rPr>
          <w:rFonts w:ascii="Arial" w:hAnsi="Arial" w:cs="Arial"/>
          <w:sz w:val="22"/>
          <w:szCs w:val="22"/>
        </w:rPr>
        <w:tab/>
      </w:r>
      <w:r w:rsidRPr="00EE0C7D">
        <w:rPr>
          <w:rFonts w:ascii="Arial" w:hAnsi="Arial" w:cs="Arial"/>
          <w:sz w:val="22"/>
          <w:szCs w:val="22"/>
        </w:rPr>
        <w:t xml:space="preserve">Where a person commences a matter </w:t>
      </w:r>
      <w:r w:rsidRPr="00EE0C7D">
        <w:rPr>
          <w:rFonts w:ascii="Arial" w:hAnsi="Arial" w:cs="Arial"/>
          <w:sz w:val="22"/>
          <w:szCs w:val="22"/>
        </w:rPr>
        <w:t xml:space="preserve">or </w:t>
      </w:r>
      <w:r w:rsidRPr="00EE0C7D">
        <w:rPr>
          <w:rFonts w:ascii="Arial" w:hAnsi="Arial" w:cs="Arial"/>
          <w:sz w:val="22"/>
          <w:szCs w:val="22"/>
        </w:rPr>
        <w:t xml:space="preserve">makes </w:t>
      </w:r>
      <w:r w:rsidRPr="00EE0C7D">
        <w:rPr>
          <w:rFonts w:ascii="Arial" w:hAnsi="Arial" w:cs="Arial"/>
          <w:sz w:val="22"/>
          <w:szCs w:val="22"/>
        </w:rPr>
        <w:t xml:space="preserve">an </w:t>
      </w:r>
      <w:r w:rsidRPr="00EE0C7D">
        <w:rPr>
          <w:rFonts w:ascii="Arial" w:hAnsi="Arial" w:cs="Arial"/>
          <w:sz w:val="22"/>
          <w:szCs w:val="22"/>
        </w:rPr>
        <w:t>application in a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division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other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than the appropriate division in accordance with this section,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>Registrar shall,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on his own volition or on application, immediately transfer the matter </w:t>
      </w:r>
      <w:r w:rsidRPr="00EE0C7D">
        <w:rPr>
          <w:rFonts w:ascii="Arial" w:hAnsi="Arial" w:cs="Arial"/>
          <w:sz w:val="22"/>
          <w:szCs w:val="22"/>
        </w:rPr>
        <w:t xml:space="preserve">to </w:t>
      </w:r>
      <w:r w:rsidRPr="00EE0C7D">
        <w:rPr>
          <w:rFonts w:ascii="Arial" w:hAnsi="Arial" w:cs="Arial"/>
          <w:sz w:val="22"/>
          <w:szCs w:val="22"/>
        </w:rPr>
        <w:t>the appropriate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</w:t>
      </w:r>
      <w:r w:rsidRPr="00EE0C7D">
        <w:rPr>
          <w:rFonts w:ascii="Arial" w:hAnsi="Arial" w:cs="Arial"/>
          <w:sz w:val="22"/>
          <w:szCs w:val="22"/>
        </w:rPr>
        <w:t>ivision.</w:t>
      </w:r>
    </w:p>
    <w:p w:rsidR="00121842" w:rsidRPr="00EE0C7D" w:rsidRDefault="007B00B9" w:rsidP="00EE0C7D">
      <w:pPr>
        <w:pStyle w:val="BodyText"/>
        <w:tabs>
          <w:tab w:val="left" w:pos="1539"/>
        </w:tabs>
        <w:spacing w:line="360" w:lineRule="auto"/>
        <w:ind w:left="1552" w:right="153" w:hanging="661"/>
        <w:rPr>
          <w:rFonts w:ascii="Arial" w:hAnsi="Arial" w:cs="Arial"/>
          <w:i w:val="0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>(</w:t>
      </w:r>
      <w:r w:rsidRPr="00EE0C7D">
        <w:rPr>
          <w:rFonts w:ascii="Arial" w:hAnsi="Arial" w:cs="Arial"/>
          <w:sz w:val="22"/>
          <w:szCs w:val="22"/>
        </w:rPr>
        <w:t>3</w:t>
      </w:r>
      <w:r w:rsidRPr="00EE0C7D">
        <w:rPr>
          <w:rFonts w:ascii="Arial" w:hAnsi="Arial" w:cs="Arial"/>
          <w:sz w:val="22"/>
          <w:szCs w:val="22"/>
        </w:rPr>
        <w:t>)</w:t>
      </w:r>
      <w:r w:rsidRPr="00EE0C7D">
        <w:rPr>
          <w:rFonts w:ascii="Arial" w:hAnsi="Arial" w:cs="Arial"/>
          <w:sz w:val="22"/>
          <w:szCs w:val="22"/>
        </w:rPr>
        <w:tab/>
      </w:r>
      <w:r w:rsidRPr="00EE0C7D">
        <w:rPr>
          <w:rFonts w:ascii="Arial" w:hAnsi="Arial" w:cs="Arial"/>
          <w:sz w:val="22"/>
          <w:szCs w:val="22"/>
        </w:rPr>
        <w:t>Any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costs arising from the process under subsection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(2) shall be borne</w:t>
      </w:r>
      <w:r w:rsid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party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who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commenced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matter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inappropriate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division.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i w:val="0"/>
          <w:sz w:val="22"/>
          <w:szCs w:val="22"/>
        </w:rPr>
        <w:t>"</w:t>
      </w:r>
    </w:p>
    <w:p w:rsidR="00121842" w:rsidRPr="00EE0C7D" w:rsidRDefault="00121842" w:rsidP="00EE0C7D">
      <w:pPr>
        <w:spacing w:line="360" w:lineRule="auto"/>
        <w:rPr>
          <w:rFonts w:ascii="Arial" w:hAnsi="Arial" w:cs="Arial"/>
        </w:rPr>
        <w:sectPr w:rsidR="00121842" w:rsidRPr="00EE0C7D">
          <w:headerReference w:type="default" r:id="rId14"/>
          <w:footerReference w:type="default" r:id="rId15"/>
          <w:pgSz w:w="12250" w:h="16870"/>
          <w:pgMar w:top="860" w:right="1420" w:bottom="2880" w:left="1080" w:header="582" w:footer="2684" w:gutter="0"/>
          <w:cols w:space="720"/>
        </w:sectPr>
      </w:pPr>
    </w:p>
    <w:p w:rsidR="00121842" w:rsidRPr="00EE0C7D" w:rsidRDefault="00121842" w:rsidP="00EE0C7D">
      <w:pPr>
        <w:pStyle w:val="BodyText"/>
        <w:spacing w:before="3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7B00B9" w:rsidP="00EE0C7D">
      <w:pPr>
        <w:pStyle w:val="Heading1"/>
        <w:spacing w:before="95" w:line="360" w:lineRule="auto"/>
        <w:ind w:left="136" w:right="136"/>
        <w:rPr>
          <w:rFonts w:ascii="Arial" w:hAnsi="Arial" w:cs="Arial"/>
          <w:sz w:val="22"/>
          <w:szCs w:val="22"/>
        </w:rPr>
      </w:pPr>
      <w:r w:rsidRPr="00EE0C7D">
        <w:rPr>
          <w:rFonts w:ascii="Arial" w:hAnsi="Arial" w:cs="Arial"/>
          <w:sz w:val="22"/>
          <w:szCs w:val="22"/>
        </w:rPr>
        <w:t xml:space="preserve">I have considered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 xml:space="preserve">grounds advanced by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 xml:space="preserve">Plaintiff for objecting </w:t>
      </w:r>
      <w:r w:rsidRPr="00EE0C7D">
        <w:rPr>
          <w:rFonts w:ascii="Arial" w:hAnsi="Arial" w:cs="Arial"/>
          <w:sz w:val="22"/>
          <w:szCs w:val="22"/>
        </w:rPr>
        <w:t xml:space="preserve">to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 xml:space="preserve">transfer and </w:t>
      </w:r>
      <w:r w:rsidRPr="00EE0C7D">
        <w:rPr>
          <w:rFonts w:ascii="Arial" w:hAnsi="Arial" w:cs="Arial"/>
          <w:sz w:val="22"/>
          <w:szCs w:val="22"/>
        </w:rPr>
        <w:t xml:space="preserve">I </w:t>
      </w:r>
      <w:r w:rsidRPr="00EE0C7D">
        <w:rPr>
          <w:rFonts w:ascii="Arial" w:hAnsi="Arial" w:cs="Arial"/>
          <w:sz w:val="22"/>
          <w:szCs w:val="22"/>
        </w:rPr>
        <w:t xml:space="preserve">find </w:t>
      </w:r>
      <w:r w:rsidRPr="00EE0C7D">
        <w:rPr>
          <w:rFonts w:ascii="Arial" w:hAnsi="Arial" w:cs="Arial"/>
          <w:sz w:val="22"/>
          <w:szCs w:val="22"/>
        </w:rPr>
        <w:t xml:space="preserve">them </w:t>
      </w:r>
      <w:r w:rsidRPr="00EE0C7D">
        <w:rPr>
          <w:rFonts w:ascii="Arial" w:hAnsi="Arial" w:cs="Arial"/>
          <w:sz w:val="22"/>
          <w:szCs w:val="22"/>
        </w:rPr>
        <w:t xml:space="preserve">wanting. Counsel </w:t>
      </w:r>
      <w:proofErr w:type="spellStart"/>
      <w:r w:rsidRPr="00EE0C7D">
        <w:rPr>
          <w:rFonts w:ascii="Arial" w:hAnsi="Arial" w:cs="Arial"/>
          <w:sz w:val="22"/>
          <w:szCs w:val="22"/>
        </w:rPr>
        <w:t>Gondwe</w:t>
      </w:r>
      <w:proofErr w:type="spellEnd"/>
      <w:r w:rsidRPr="00EE0C7D">
        <w:rPr>
          <w:rFonts w:ascii="Arial" w:hAnsi="Arial" w:cs="Arial"/>
          <w:sz w:val="22"/>
          <w:szCs w:val="22"/>
        </w:rPr>
        <w:t xml:space="preserve"> concedes </w:t>
      </w:r>
      <w:r w:rsidRPr="00EE0C7D">
        <w:rPr>
          <w:rFonts w:ascii="Arial" w:hAnsi="Arial" w:cs="Arial"/>
          <w:sz w:val="22"/>
          <w:szCs w:val="22"/>
        </w:rPr>
        <w:t xml:space="preserve">that </w:t>
      </w:r>
      <w:r w:rsidRPr="00EE0C7D">
        <w:rPr>
          <w:rFonts w:ascii="Arial" w:hAnsi="Arial" w:cs="Arial"/>
          <w:sz w:val="22"/>
          <w:szCs w:val="22"/>
        </w:rPr>
        <w:t xml:space="preserve">the </w:t>
      </w:r>
      <w:r w:rsidRPr="00EE0C7D">
        <w:rPr>
          <w:rFonts w:ascii="Arial" w:hAnsi="Arial" w:cs="Arial"/>
          <w:sz w:val="22"/>
          <w:szCs w:val="22"/>
        </w:rPr>
        <w:t xml:space="preserve">Plaintiff </w:t>
      </w:r>
      <w:r w:rsidRPr="00EE0C7D">
        <w:rPr>
          <w:rFonts w:ascii="Arial" w:hAnsi="Arial" w:cs="Arial"/>
          <w:sz w:val="22"/>
          <w:szCs w:val="22"/>
        </w:rPr>
        <w:t xml:space="preserve">and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Defendant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are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contractual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relationship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involving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business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transactions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and </w:t>
      </w:r>
      <w:r w:rsidRPr="00EE0C7D">
        <w:rPr>
          <w:rFonts w:ascii="Arial" w:hAnsi="Arial" w:cs="Arial"/>
          <w:sz w:val="22"/>
          <w:szCs w:val="22"/>
        </w:rPr>
        <w:t>payment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commercial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debt: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see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paragraph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4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Affidavit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in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Opposition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 xml:space="preserve">and </w:t>
      </w:r>
      <w:r w:rsidRPr="00EE0C7D">
        <w:rPr>
          <w:rFonts w:ascii="Arial" w:hAnsi="Arial" w:cs="Arial"/>
          <w:sz w:val="22"/>
          <w:szCs w:val="22"/>
        </w:rPr>
        <w:t>paragraph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3.2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of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the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Plaintiffs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Skeleton</w:t>
      </w:r>
      <w:r w:rsidRPr="00EE0C7D">
        <w:rPr>
          <w:rFonts w:ascii="Arial" w:hAnsi="Arial" w:cs="Arial"/>
          <w:sz w:val="22"/>
          <w:szCs w:val="22"/>
        </w:rPr>
        <w:t xml:space="preserve"> </w:t>
      </w:r>
      <w:r w:rsidRPr="00EE0C7D">
        <w:rPr>
          <w:rFonts w:ascii="Arial" w:hAnsi="Arial" w:cs="Arial"/>
          <w:sz w:val="22"/>
          <w:szCs w:val="22"/>
        </w:rPr>
        <w:t>Arguments</w:t>
      </w:r>
    </w:p>
    <w:p w:rsidR="00121842" w:rsidRPr="00EE0C7D" w:rsidRDefault="00121842" w:rsidP="00EE0C7D">
      <w:pPr>
        <w:pStyle w:val="BodyText"/>
        <w:spacing w:before="10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7B00B9" w:rsidP="00EE0C7D">
      <w:pPr>
        <w:spacing w:line="360" w:lineRule="auto"/>
        <w:ind w:left="131" w:right="122" w:firstLine="3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>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basis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of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foregoing,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there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no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doubt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my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mind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that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what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we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have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here is a civil </w:t>
      </w:r>
      <w:r w:rsidRPr="00EE0C7D">
        <w:rPr>
          <w:rFonts w:ascii="Arial" w:hAnsi="Arial" w:cs="Arial"/>
        </w:rPr>
        <w:t xml:space="preserve">matter </w:t>
      </w:r>
      <w:r w:rsidRPr="00EE0C7D">
        <w:rPr>
          <w:rFonts w:ascii="Arial" w:hAnsi="Arial" w:cs="Arial"/>
        </w:rPr>
        <w:t xml:space="preserve">of commercial significance arising out of or connected with a relationship of commercial </w:t>
      </w:r>
      <w:r w:rsidRPr="00EE0C7D">
        <w:rPr>
          <w:rFonts w:ascii="Arial" w:hAnsi="Arial" w:cs="Arial"/>
        </w:rPr>
        <w:t xml:space="preserve">or </w:t>
      </w:r>
      <w:r w:rsidRPr="00EE0C7D">
        <w:rPr>
          <w:rFonts w:ascii="Arial" w:hAnsi="Arial" w:cs="Arial"/>
        </w:rPr>
        <w:t xml:space="preserve">business nature. Accordingly, </w:t>
      </w:r>
      <w:r w:rsidRPr="00EE0C7D">
        <w:rPr>
          <w:rFonts w:ascii="Arial" w:hAnsi="Arial" w:cs="Arial"/>
        </w:rPr>
        <w:t xml:space="preserve">it </w:t>
      </w:r>
      <w:r w:rsidRPr="00EE0C7D">
        <w:rPr>
          <w:rFonts w:ascii="Arial" w:hAnsi="Arial" w:cs="Arial"/>
        </w:rPr>
        <w:t>is my finding that 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case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herein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commercial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matter.</w:t>
      </w:r>
    </w:p>
    <w:p w:rsidR="00121842" w:rsidRPr="00EE0C7D" w:rsidRDefault="00121842" w:rsidP="00EE0C7D">
      <w:pPr>
        <w:pStyle w:val="BodyText"/>
        <w:spacing w:before="1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7B00B9" w:rsidP="00EE0C7D">
      <w:pPr>
        <w:spacing w:line="360" w:lineRule="auto"/>
        <w:ind w:left="129" w:right="125" w:firstLine="6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 xml:space="preserve">In terms of section 6A of the Courts </w:t>
      </w:r>
      <w:r w:rsidRPr="00EE0C7D">
        <w:rPr>
          <w:rFonts w:ascii="Arial" w:hAnsi="Arial" w:cs="Arial"/>
        </w:rPr>
        <w:t xml:space="preserve">Act, </w:t>
      </w:r>
      <w:r w:rsidRPr="00EE0C7D">
        <w:rPr>
          <w:rFonts w:ascii="Arial" w:hAnsi="Arial" w:cs="Arial"/>
        </w:rPr>
        <w:t xml:space="preserve">it is the Commercial Division, and </w:t>
      </w:r>
      <w:r w:rsidRPr="00EE0C7D">
        <w:rPr>
          <w:rFonts w:ascii="Arial" w:hAnsi="Arial" w:cs="Arial"/>
        </w:rPr>
        <w:t xml:space="preserve">not </w:t>
      </w:r>
      <w:r w:rsidRPr="00EE0C7D">
        <w:rPr>
          <w:rFonts w:ascii="Arial" w:hAnsi="Arial" w:cs="Arial"/>
        </w:rPr>
        <w:t>this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Court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(Civil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Division),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that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charged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with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hearing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commercial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matters.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the </w:t>
      </w:r>
      <w:r w:rsidRPr="00EE0C7D">
        <w:rPr>
          <w:rFonts w:ascii="Arial" w:hAnsi="Arial" w:cs="Arial"/>
        </w:rPr>
        <w:t xml:space="preserve">premises, this matter has to be transferred to the Commercial Division. I, accordingly, direct that the Plaintiff should have this case transferred </w:t>
      </w:r>
      <w:r w:rsidRPr="00EE0C7D">
        <w:rPr>
          <w:rFonts w:ascii="Arial" w:hAnsi="Arial" w:cs="Arial"/>
        </w:rPr>
        <w:t xml:space="preserve">to Commercial </w:t>
      </w:r>
      <w:r w:rsidRPr="00EE0C7D">
        <w:rPr>
          <w:rFonts w:ascii="Arial" w:hAnsi="Arial" w:cs="Arial"/>
        </w:rPr>
        <w:t xml:space="preserve">Division within 30 days </w:t>
      </w:r>
      <w:r w:rsidRPr="00EE0C7D">
        <w:rPr>
          <w:rFonts w:ascii="Arial" w:hAnsi="Arial" w:cs="Arial"/>
        </w:rPr>
        <w:t xml:space="preserve">hereof, failing </w:t>
      </w:r>
      <w:r w:rsidRPr="00EE0C7D">
        <w:rPr>
          <w:rFonts w:ascii="Arial" w:hAnsi="Arial" w:cs="Arial"/>
        </w:rPr>
        <w:t xml:space="preserve">which </w:t>
      </w:r>
      <w:r w:rsidRPr="00EE0C7D">
        <w:rPr>
          <w:rFonts w:ascii="Arial" w:hAnsi="Arial" w:cs="Arial"/>
        </w:rPr>
        <w:t xml:space="preserve">the </w:t>
      </w:r>
      <w:r w:rsidRPr="00EE0C7D">
        <w:rPr>
          <w:rFonts w:ascii="Arial" w:hAnsi="Arial" w:cs="Arial"/>
        </w:rPr>
        <w:t xml:space="preserve">action shall automatically stand </w:t>
      </w:r>
      <w:r w:rsidRPr="00EE0C7D">
        <w:rPr>
          <w:rFonts w:ascii="Arial" w:hAnsi="Arial" w:cs="Arial"/>
        </w:rPr>
        <w:t xml:space="preserve">dismissed </w:t>
      </w:r>
      <w:r w:rsidRPr="00EE0C7D">
        <w:rPr>
          <w:rFonts w:ascii="Arial" w:hAnsi="Arial" w:cs="Arial"/>
        </w:rPr>
        <w:t>a</w:t>
      </w:r>
      <w:r w:rsidRPr="00EE0C7D">
        <w:rPr>
          <w:rFonts w:ascii="Arial" w:hAnsi="Arial" w:cs="Arial"/>
        </w:rPr>
        <w:t xml:space="preserve">nd </w:t>
      </w:r>
      <w:r w:rsidRPr="00EE0C7D">
        <w:rPr>
          <w:rFonts w:ascii="Arial" w:hAnsi="Arial" w:cs="Arial"/>
        </w:rPr>
        <w:t xml:space="preserve">the </w:t>
      </w:r>
      <w:r w:rsidRPr="00EE0C7D">
        <w:rPr>
          <w:rFonts w:ascii="Arial" w:hAnsi="Arial" w:cs="Arial"/>
        </w:rPr>
        <w:t xml:space="preserve">interlocutory </w:t>
      </w:r>
      <w:r w:rsidRPr="00EE0C7D">
        <w:rPr>
          <w:rFonts w:ascii="Arial" w:hAnsi="Arial" w:cs="Arial"/>
        </w:rPr>
        <w:t xml:space="preserve">injunction granted herein </w:t>
      </w:r>
      <w:r w:rsidRPr="00EE0C7D">
        <w:rPr>
          <w:rFonts w:ascii="Arial" w:hAnsi="Arial" w:cs="Arial"/>
        </w:rPr>
        <w:t>will no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longer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valid.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It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so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ordered.</w:t>
      </w:r>
    </w:p>
    <w:p w:rsidR="00121842" w:rsidRPr="00EE0C7D" w:rsidRDefault="007B00B9" w:rsidP="00EE0C7D">
      <w:pPr>
        <w:spacing w:before="115" w:line="360" w:lineRule="auto"/>
        <w:ind w:left="122" w:right="119" w:hanging="6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>Costs are aw</w:t>
      </w:r>
      <w:bookmarkStart w:id="0" w:name="_GoBack"/>
      <w:bookmarkEnd w:id="0"/>
      <w:r w:rsidRPr="00EE0C7D">
        <w:rPr>
          <w:rFonts w:ascii="Arial" w:hAnsi="Arial" w:cs="Arial"/>
        </w:rPr>
        <w:t xml:space="preserve">arded to the Defendant: see section </w:t>
      </w:r>
      <w:r w:rsidRPr="00EE0C7D">
        <w:rPr>
          <w:rFonts w:ascii="Arial" w:hAnsi="Arial" w:cs="Arial"/>
        </w:rPr>
        <w:t xml:space="preserve">6A </w:t>
      </w:r>
      <w:r w:rsidRPr="00EE0C7D">
        <w:rPr>
          <w:rFonts w:ascii="Arial" w:hAnsi="Arial" w:cs="Arial"/>
        </w:rPr>
        <w:t xml:space="preserve">(3) of the Courts Act which provides that where a case is commenced </w:t>
      </w:r>
      <w:r w:rsidRPr="00EE0C7D">
        <w:rPr>
          <w:rFonts w:ascii="Arial" w:hAnsi="Arial" w:cs="Arial"/>
        </w:rPr>
        <w:t xml:space="preserve">in </w:t>
      </w:r>
      <w:r w:rsidRPr="00EE0C7D">
        <w:rPr>
          <w:rFonts w:ascii="Arial" w:hAnsi="Arial" w:cs="Arial"/>
        </w:rPr>
        <w:t>a division other than the appropriate division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costs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arising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from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process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shall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borne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by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party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who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commenced the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case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an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inappropriate</w:t>
      </w:r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>division.</w:t>
      </w:r>
    </w:p>
    <w:p w:rsidR="00121842" w:rsidRPr="00EE0C7D" w:rsidRDefault="00121842" w:rsidP="00EE0C7D">
      <w:pPr>
        <w:pStyle w:val="BodyText"/>
        <w:spacing w:before="1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Pr="00EE0C7D" w:rsidRDefault="007B00B9" w:rsidP="00EE0C7D">
      <w:pPr>
        <w:spacing w:line="360" w:lineRule="auto"/>
        <w:ind w:left="121" w:right="116" w:firstLine="4"/>
        <w:jc w:val="both"/>
        <w:rPr>
          <w:rFonts w:ascii="Arial" w:hAnsi="Arial" w:cs="Arial"/>
        </w:rPr>
      </w:pPr>
      <w:r w:rsidRPr="00EE0C7D">
        <w:rPr>
          <w:rFonts w:ascii="Arial" w:hAnsi="Arial" w:cs="Arial"/>
        </w:rPr>
        <w:t>Pronounced in Court this 19</w:t>
      </w:r>
      <w:proofErr w:type="spellStart"/>
      <w:r w:rsidRPr="00EE0C7D">
        <w:rPr>
          <w:rFonts w:ascii="Arial" w:hAnsi="Arial" w:cs="Arial"/>
        </w:rPr>
        <w:t>th</w:t>
      </w:r>
      <w:proofErr w:type="spellEnd"/>
      <w:r w:rsidRPr="00EE0C7D">
        <w:rPr>
          <w:rFonts w:ascii="Arial" w:hAnsi="Arial" w:cs="Arial"/>
        </w:rPr>
        <w:t xml:space="preserve"> </w:t>
      </w:r>
      <w:r w:rsidRPr="00EE0C7D">
        <w:rPr>
          <w:rFonts w:ascii="Arial" w:hAnsi="Arial" w:cs="Arial"/>
        </w:rPr>
        <w:t xml:space="preserve">day of June 2017 at Blantyre in the Republic of </w:t>
      </w:r>
      <w:r w:rsidRPr="00EE0C7D">
        <w:rPr>
          <w:rFonts w:ascii="Arial" w:hAnsi="Arial" w:cs="Arial"/>
        </w:rPr>
        <w:t>Malawi.</w:t>
      </w:r>
    </w:p>
    <w:p w:rsidR="00121842" w:rsidRPr="00EE0C7D" w:rsidRDefault="00121842" w:rsidP="00EE0C7D">
      <w:pPr>
        <w:pStyle w:val="BodyText"/>
        <w:spacing w:before="4" w:line="360" w:lineRule="auto"/>
        <w:rPr>
          <w:rFonts w:ascii="Arial" w:hAnsi="Arial" w:cs="Arial"/>
          <w:i w:val="0"/>
          <w:sz w:val="22"/>
          <w:szCs w:val="22"/>
        </w:rPr>
      </w:pPr>
    </w:p>
    <w:p w:rsidR="00121842" w:rsidRDefault="002F61BD" w:rsidP="00EE0C7D">
      <w:pPr>
        <w:spacing w:before="5" w:line="360" w:lineRule="auto"/>
        <w:ind w:left="4348" w:right="43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</w:t>
      </w:r>
    </w:p>
    <w:p w:rsidR="002F61BD" w:rsidRDefault="002F61BD" w:rsidP="002F61BD">
      <w:pPr>
        <w:spacing w:before="5" w:line="360" w:lineRule="auto"/>
        <w:ind w:left="3261" w:right="34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Kenyatta Nyirenda</w:t>
      </w:r>
    </w:p>
    <w:p w:rsidR="002F61BD" w:rsidRPr="002F61BD" w:rsidRDefault="002F61BD" w:rsidP="00EE0C7D">
      <w:pPr>
        <w:spacing w:before="5" w:line="360" w:lineRule="auto"/>
        <w:ind w:left="4348" w:right="4376"/>
        <w:jc w:val="center"/>
        <w:rPr>
          <w:rFonts w:ascii="Arial" w:hAnsi="Arial" w:cs="Arial"/>
          <w:b/>
          <w:u w:val="single"/>
        </w:rPr>
      </w:pPr>
      <w:r w:rsidRPr="002F61BD">
        <w:rPr>
          <w:rFonts w:ascii="Arial" w:hAnsi="Arial" w:cs="Arial"/>
          <w:b/>
          <w:u w:val="single"/>
        </w:rPr>
        <w:t>JUDGE</w:t>
      </w:r>
    </w:p>
    <w:sectPr w:rsidR="002F61BD" w:rsidRPr="002F61BD">
      <w:headerReference w:type="default" r:id="rId16"/>
      <w:footerReference w:type="default" r:id="rId17"/>
      <w:pgSz w:w="12230" w:h="16870"/>
      <w:pgMar w:top="840" w:right="1360" w:bottom="2880" w:left="1140" w:header="569" w:footer="2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B9" w:rsidRDefault="007B00B9">
      <w:r>
        <w:separator/>
      </w:r>
    </w:p>
  </w:endnote>
  <w:endnote w:type="continuationSeparator" w:id="0">
    <w:p w:rsidR="007B00B9" w:rsidRDefault="007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 Light">
    <w:altName w:val="Microsoft JhengHei U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8.6pt;margin-top:696.3pt;width:8.35pt;height:16.65pt;z-index:-8032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40"/>
                  <w:rPr>
                    <w:rFonts w:ascii="Calibri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505050"/>
                    <w:w w:val="7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F61BD">
                  <w:rPr>
                    <w:rFonts w:ascii="Calibri"/>
                    <w:noProof/>
                    <w:color w:val="505050"/>
                    <w:w w:val="74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2.05pt;margin-top:700.95pt;width:7.6pt;height:16.65pt;z-index:-8008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383838"/>
                    <w:w w:val="9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F61BD">
                  <w:rPr>
                    <w:rFonts w:ascii="Calibri"/>
                    <w:noProof/>
                    <w:color w:val="383838"/>
                    <w:w w:val="95"/>
                    <w:sz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6.15pt;margin-top:694.6pt;width:7.1pt;height:16.65pt;z-index:-7984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  <w:sz w:val="23"/>
                  </w:rPr>
                </w:pPr>
                <w:r>
                  <w:rPr>
                    <w:rFonts w:ascii="Calibri"/>
                    <w:color w:val="3D3D3D"/>
                    <w:w w:val="87"/>
                    <w:sz w:val="2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1pt;margin-top:697.85pt;width:7.35pt;height:13.9pt;z-index:-7912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line="265" w:lineRule="exact"/>
                  <w:ind w:left="20"/>
                  <w:rPr>
                    <w:rFonts w:ascii="Microsoft JhengHei UI Light"/>
                    <w:sz w:val="19"/>
                  </w:rPr>
                </w:pPr>
                <w:r>
                  <w:rPr>
                    <w:rFonts w:ascii="Microsoft JhengHei UI Light"/>
                    <w:color w:val="434343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05pt;margin-top:697.6pt;width:7.1pt;height:14.2pt;z-index:-7840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30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454545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B9" w:rsidRDefault="007B00B9">
      <w:r>
        <w:separator/>
      </w:r>
    </w:p>
  </w:footnote>
  <w:footnote w:type="continuationSeparator" w:id="0">
    <w:p w:rsidR="007B00B9" w:rsidRDefault="007B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3.4pt;margin-top:24.55pt;width:193.4pt;height:16pt;z-index:-8080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  <w:color w:val="303030"/>
                  </w:rPr>
                  <w:t>Mulli</w:t>
                </w:r>
                <w:proofErr w:type="spellEnd"/>
                <w:r>
                  <w:rPr>
                    <w:rFonts w:ascii="Calibri"/>
                    <w:color w:val="303030"/>
                  </w:rPr>
                  <w:t xml:space="preserve"> Brothers Limited v. FDH Bank Limited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49.6pt;margin-top:24.55pt;width:96pt;height:16pt;z-index:-8056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343434"/>
                  </w:rPr>
                  <w:t>Kenyatta Nyirenda, J.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.95pt;margin-top:28.1pt;width:194.3pt;height:16pt;z-index:-7960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  <w:color w:val="393939"/>
                  </w:rPr>
                  <w:t>Mulli</w:t>
                </w:r>
                <w:proofErr w:type="spellEnd"/>
                <w:r>
                  <w:rPr>
                    <w:rFonts w:ascii="Calibri"/>
                    <w:color w:val="393939"/>
                  </w:rPr>
                  <w:t xml:space="preserve"> Brothers Limited v. FDH Bank Limited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6.55pt;margin-top:28.15pt;width:96.45pt;height:16pt;z-index:-7936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3D3D3D"/>
                  </w:rPr>
                  <w:t>Kenyatta Nyirenda, J.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42" w:rsidRDefault="007B00B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pt;margin-top:27.45pt;width:194.1pt;height:16pt;z-index:-7888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  <w:color w:val="3B3B3B"/>
                  </w:rPr>
                  <w:t>Mulli</w:t>
                </w:r>
                <w:proofErr w:type="spellEnd"/>
                <w:r>
                  <w:rPr>
                    <w:rFonts w:ascii="Calibri"/>
                    <w:color w:val="3B3B3B"/>
                  </w:rPr>
                  <w:t xml:space="preserve"> Brothers Limited v. FDH Bank Limited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0.45pt;margin-top:27.95pt;width:96.25pt;height:16pt;z-index:-7864;mso-position-horizontal-relative:page;mso-position-vertical-relative:page" filled="f" stroked="f">
          <v:textbox inset="0,0,0,0">
            <w:txbxContent>
              <w:p w:rsidR="00121842" w:rsidRDefault="007B00B9">
                <w:pPr>
                  <w:spacing w:before="22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414141"/>
                  </w:rPr>
                  <w:t>Kenyatta Nyirenda, J.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4F8"/>
    <w:multiLevelType w:val="hybridMultilevel"/>
    <w:tmpl w:val="52C0F186"/>
    <w:lvl w:ilvl="0" w:tplc="456EDC8E">
      <w:start w:val="4"/>
      <w:numFmt w:val="decimal"/>
      <w:lvlText w:val="%1."/>
      <w:lvlJc w:val="left"/>
      <w:pPr>
        <w:ind w:left="1560" w:hanging="698"/>
        <w:jc w:val="left"/>
      </w:pPr>
      <w:rPr>
        <w:rFonts w:hint="default"/>
        <w:i/>
        <w:spacing w:val="-5"/>
        <w:w w:val="83"/>
      </w:rPr>
    </w:lvl>
    <w:lvl w:ilvl="1" w:tplc="F55A2A92">
      <w:numFmt w:val="bullet"/>
      <w:lvlText w:val="•"/>
      <w:lvlJc w:val="left"/>
      <w:pPr>
        <w:ind w:left="2280" w:hanging="698"/>
      </w:pPr>
      <w:rPr>
        <w:rFonts w:hint="default"/>
      </w:rPr>
    </w:lvl>
    <w:lvl w:ilvl="2" w:tplc="A1E2EAF2">
      <w:numFmt w:val="bullet"/>
      <w:lvlText w:val="•"/>
      <w:lvlJc w:val="left"/>
      <w:pPr>
        <w:ind w:left="3093" w:hanging="698"/>
      </w:pPr>
      <w:rPr>
        <w:rFonts w:hint="default"/>
      </w:rPr>
    </w:lvl>
    <w:lvl w:ilvl="3" w:tplc="0A1066E4">
      <w:numFmt w:val="bullet"/>
      <w:lvlText w:val="•"/>
      <w:lvlJc w:val="left"/>
      <w:pPr>
        <w:ind w:left="3907" w:hanging="698"/>
      </w:pPr>
      <w:rPr>
        <w:rFonts w:hint="default"/>
      </w:rPr>
    </w:lvl>
    <w:lvl w:ilvl="4" w:tplc="D9E6FE3E">
      <w:numFmt w:val="bullet"/>
      <w:lvlText w:val="•"/>
      <w:lvlJc w:val="left"/>
      <w:pPr>
        <w:ind w:left="4720" w:hanging="698"/>
      </w:pPr>
      <w:rPr>
        <w:rFonts w:hint="default"/>
      </w:rPr>
    </w:lvl>
    <w:lvl w:ilvl="5" w:tplc="307A250C">
      <w:numFmt w:val="bullet"/>
      <w:lvlText w:val="•"/>
      <w:lvlJc w:val="left"/>
      <w:pPr>
        <w:ind w:left="5534" w:hanging="698"/>
      </w:pPr>
      <w:rPr>
        <w:rFonts w:hint="default"/>
      </w:rPr>
    </w:lvl>
    <w:lvl w:ilvl="6" w:tplc="9022DC7A">
      <w:numFmt w:val="bullet"/>
      <w:lvlText w:val="•"/>
      <w:lvlJc w:val="left"/>
      <w:pPr>
        <w:ind w:left="6348" w:hanging="698"/>
      </w:pPr>
      <w:rPr>
        <w:rFonts w:hint="default"/>
      </w:rPr>
    </w:lvl>
    <w:lvl w:ilvl="7" w:tplc="D8DE4EEC">
      <w:numFmt w:val="bullet"/>
      <w:lvlText w:val="•"/>
      <w:lvlJc w:val="left"/>
      <w:pPr>
        <w:ind w:left="7161" w:hanging="698"/>
      </w:pPr>
      <w:rPr>
        <w:rFonts w:hint="default"/>
      </w:rPr>
    </w:lvl>
    <w:lvl w:ilvl="8" w:tplc="119E577E">
      <w:numFmt w:val="bullet"/>
      <w:lvlText w:val="•"/>
      <w:lvlJc w:val="left"/>
      <w:pPr>
        <w:ind w:left="7975" w:hanging="698"/>
      </w:pPr>
      <w:rPr>
        <w:rFonts w:hint="default"/>
      </w:rPr>
    </w:lvl>
  </w:abstractNum>
  <w:abstractNum w:abstractNumId="1" w15:restartNumberingAfterBreak="0">
    <w:nsid w:val="094B4253"/>
    <w:multiLevelType w:val="hybridMultilevel"/>
    <w:tmpl w:val="32F07366"/>
    <w:lvl w:ilvl="0" w:tplc="942839FE">
      <w:start w:val="4"/>
      <w:numFmt w:val="decimal"/>
      <w:lvlText w:val="%1."/>
      <w:lvlJc w:val="left"/>
      <w:pPr>
        <w:ind w:left="1554" w:hanging="708"/>
        <w:jc w:val="left"/>
      </w:pPr>
      <w:rPr>
        <w:rFonts w:hint="default"/>
        <w:i/>
        <w:spacing w:val="-3"/>
        <w:w w:val="101"/>
      </w:rPr>
    </w:lvl>
    <w:lvl w:ilvl="1" w:tplc="4C54B48E">
      <w:numFmt w:val="bullet"/>
      <w:lvlText w:val="•"/>
      <w:lvlJc w:val="left"/>
      <w:pPr>
        <w:ind w:left="2374" w:hanging="708"/>
      </w:pPr>
      <w:rPr>
        <w:rFonts w:hint="default"/>
      </w:rPr>
    </w:lvl>
    <w:lvl w:ilvl="2" w:tplc="393AC9BE">
      <w:numFmt w:val="bullet"/>
      <w:lvlText w:val="•"/>
      <w:lvlJc w:val="left"/>
      <w:pPr>
        <w:ind w:left="3188" w:hanging="708"/>
      </w:pPr>
      <w:rPr>
        <w:rFonts w:hint="default"/>
      </w:rPr>
    </w:lvl>
    <w:lvl w:ilvl="3" w:tplc="2BD02BFC">
      <w:numFmt w:val="bullet"/>
      <w:lvlText w:val="•"/>
      <w:lvlJc w:val="left"/>
      <w:pPr>
        <w:ind w:left="4002" w:hanging="708"/>
      </w:pPr>
      <w:rPr>
        <w:rFonts w:hint="default"/>
      </w:rPr>
    </w:lvl>
    <w:lvl w:ilvl="4" w:tplc="DCECF758">
      <w:numFmt w:val="bullet"/>
      <w:lvlText w:val="•"/>
      <w:lvlJc w:val="left"/>
      <w:pPr>
        <w:ind w:left="4816" w:hanging="708"/>
      </w:pPr>
      <w:rPr>
        <w:rFonts w:hint="default"/>
      </w:rPr>
    </w:lvl>
    <w:lvl w:ilvl="5" w:tplc="A396346C">
      <w:numFmt w:val="bullet"/>
      <w:lvlText w:val="•"/>
      <w:lvlJc w:val="left"/>
      <w:pPr>
        <w:ind w:left="5630" w:hanging="708"/>
      </w:pPr>
      <w:rPr>
        <w:rFonts w:hint="default"/>
      </w:rPr>
    </w:lvl>
    <w:lvl w:ilvl="6" w:tplc="6890DD02">
      <w:numFmt w:val="bullet"/>
      <w:lvlText w:val="•"/>
      <w:lvlJc w:val="left"/>
      <w:pPr>
        <w:ind w:left="6444" w:hanging="708"/>
      </w:pPr>
      <w:rPr>
        <w:rFonts w:hint="default"/>
      </w:rPr>
    </w:lvl>
    <w:lvl w:ilvl="7" w:tplc="2C38DACE">
      <w:numFmt w:val="bullet"/>
      <w:lvlText w:val="•"/>
      <w:lvlJc w:val="left"/>
      <w:pPr>
        <w:ind w:left="7258" w:hanging="708"/>
      </w:pPr>
      <w:rPr>
        <w:rFonts w:hint="default"/>
      </w:rPr>
    </w:lvl>
    <w:lvl w:ilvl="8" w:tplc="C332F37A">
      <w:numFmt w:val="bullet"/>
      <w:lvlText w:val="•"/>
      <w:lvlJc w:val="left"/>
      <w:pPr>
        <w:ind w:left="8072" w:hanging="708"/>
      </w:pPr>
      <w:rPr>
        <w:rFonts w:hint="default"/>
      </w:rPr>
    </w:lvl>
  </w:abstractNum>
  <w:abstractNum w:abstractNumId="2" w15:restartNumberingAfterBreak="0">
    <w:nsid w:val="25F71E53"/>
    <w:multiLevelType w:val="multilevel"/>
    <w:tmpl w:val="D526BE5E"/>
    <w:lvl w:ilvl="0">
      <w:start w:val="4"/>
      <w:numFmt w:val="decimal"/>
      <w:lvlText w:val="%1"/>
      <w:lvlJc w:val="left"/>
      <w:pPr>
        <w:ind w:left="2254" w:hanging="69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254" w:hanging="697"/>
        <w:jc w:val="right"/>
      </w:pPr>
      <w:rPr>
        <w:rFonts w:hint="default"/>
        <w:i/>
        <w:w w:val="97"/>
        <w:position w:val="0"/>
      </w:rPr>
    </w:lvl>
    <w:lvl w:ilvl="2">
      <w:numFmt w:val="bullet"/>
      <w:lvlText w:val="•"/>
      <w:lvlJc w:val="left"/>
      <w:pPr>
        <w:ind w:left="3752" w:hanging="697"/>
      </w:pPr>
      <w:rPr>
        <w:rFonts w:hint="default"/>
      </w:rPr>
    </w:lvl>
    <w:lvl w:ilvl="3">
      <w:numFmt w:val="bullet"/>
      <w:lvlText w:val="•"/>
      <w:lvlJc w:val="left"/>
      <w:pPr>
        <w:ind w:left="4498" w:hanging="697"/>
      </w:pPr>
      <w:rPr>
        <w:rFonts w:hint="default"/>
      </w:rPr>
    </w:lvl>
    <w:lvl w:ilvl="4">
      <w:numFmt w:val="bullet"/>
      <w:lvlText w:val="•"/>
      <w:lvlJc w:val="left"/>
      <w:pPr>
        <w:ind w:left="5244" w:hanging="697"/>
      </w:pPr>
      <w:rPr>
        <w:rFonts w:hint="default"/>
      </w:rPr>
    </w:lvl>
    <w:lvl w:ilvl="5">
      <w:numFmt w:val="bullet"/>
      <w:lvlText w:val="•"/>
      <w:lvlJc w:val="left"/>
      <w:pPr>
        <w:ind w:left="5991" w:hanging="697"/>
      </w:pPr>
      <w:rPr>
        <w:rFonts w:hint="default"/>
      </w:rPr>
    </w:lvl>
    <w:lvl w:ilvl="6">
      <w:numFmt w:val="bullet"/>
      <w:lvlText w:val="•"/>
      <w:lvlJc w:val="left"/>
      <w:pPr>
        <w:ind w:left="6737" w:hanging="697"/>
      </w:pPr>
      <w:rPr>
        <w:rFonts w:hint="default"/>
      </w:rPr>
    </w:lvl>
    <w:lvl w:ilvl="7">
      <w:numFmt w:val="bullet"/>
      <w:lvlText w:val="•"/>
      <w:lvlJc w:val="left"/>
      <w:pPr>
        <w:ind w:left="7483" w:hanging="697"/>
      </w:pPr>
      <w:rPr>
        <w:rFonts w:hint="default"/>
      </w:rPr>
    </w:lvl>
    <w:lvl w:ilvl="8">
      <w:numFmt w:val="bullet"/>
      <w:lvlText w:val="•"/>
      <w:lvlJc w:val="left"/>
      <w:pPr>
        <w:ind w:left="8229" w:hanging="697"/>
      </w:pPr>
      <w:rPr>
        <w:rFonts w:hint="default"/>
      </w:rPr>
    </w:lvl>
  </w:abstractNum>
  <w:abstractNum w:abstractNumId="3" w15:restartNumberingAfterBreak="0">
    <w:nsid w:val="2D12420B"/>
    <w:multiLevelType w:val="hybridMultilevel"/>
    <w:tmpl w:val="E5D01D1A"/>
    <w:lvl w:ilvl="0" w:tplc="C2827C0A">
      <w:start w:val="2"/>
      <w:numFmt w:val="lowerLetter"/>
      <w:lvlText w:val="(%1)"/>
      <w:lvlJc w:val="left"/>
      <w:pPr>
        <w:ind w:left="1583" w:hanging="619"/>
        <w:jc w:val="right"/>
      </w:pPr>
      <w:rPr>
        <w:rFonts w:hint="default"/>
        <w:i/>
        <w:w w:val="88"/>
        <w:position w:val="-4"/>
      </w:rPr>
    </w:lvl>
    <w:lvl w:ilvl="1" w:tplc="03566A38">
      <w:numFmt w:val="bullet"/>
      <w:lvlText w:val="•"/>
      <w:lvlJc w:val="left"/>
      <w:pPr>
        <w:ind w:left="2460" w:hanging="619"/>
      </w:pPr>
      <w:rPr>
        <w:rFonts w:hint="default"/>
      </w:rPr>
    </w:lvl>
    <w:lvl w:ilvl="2" w:tplc="72FE061C">
      <w:numFmt w:val="bullet"/>
      <w:lvlText w:val="•"/>
      <w:lvlJc w:val="left"/>
      <w:pPr>
        <w:ind w:left="3340" w:hanging="619"/>
      </w:pPr>
      <w:rPr>
        <w:rFonts w:hint="default"/>
      </w:rPr>
    </w:lvl>
    <w:lvl w:ilvl="3" w:tplc="DEFE31C0">
      <w:numFmt w:val="bullet"/>
      <w:lvlText w:val="•"/>
      <w:lvlJc w:val="left"/>
      <w:pPr>
        <w:ind w:left="4220" w:hanging="619"/>
      </w:pPr>
      <w:rPr>
        <w:rFonts w:hint="default"/>
      </w:rPr>
    </w:lvl>
    <w:lvl w:ilvl="4" w:tplc="1E38B5AC">
      <w:numFmt w:val="bullet"/>
      <w:lvlText w:val="•"/>
      <w:lvlJc w:val="left"/>
      <w:pPr>
        <w:ind w:left="5100" w:hanging="619"/>
      </w:pPr>
      <w:rPr>
        <w:rFonts w:hint="default"/>
      </w:rPr>
    </w:lvl>
    <w:lvl w:ilvl="5" w:tplc="2DF2F9B0">
      <w:numFmt w:val="bullet"/>
      <w:lvlText w:val="•"/>
      <w:lvlJc w:val="left"/>
      <w:pPr>
        <w:ind w:left="5980" w:hanging="619"/>
      </w:pPr>
      <w:rPr>
        <w:rFonts w:hint="default"/>
      </w:rPr>
    </w:lvl>
    <w:lvl w:ilvl="6" w:tplc="69429A7A">
      <w:numFmt w:val="bullet"/>
      <w:lvlText w:val="•"/>
      <w:lvlJc w:val="left"/>
      <w:pPr>
        <w:ind w:left="6860" w:hanging="619"/>
      </w:pPr>
      <w:rPr>
        <w:rFonts w:hint="default"/>
      </w:rPr>
    </w:lvl>
    <w:lvl w:ilvl="7" w:tplc="E7985C5E">
      <w:numFmt w:val="bullet"/>
      <w:lvlText w:val="•"/>
      <w:lvlJc w:val="left"/>
      <w:pPr>
        <w:ind w:left="7740" w:hanging="619"/>
      </w:pPr>
      <w:rPr>
        <w:rFonts w:hint="default"/>
      </w:rPr>
    </w:lvl>
    <w:lvl w:ilvl="8" w:tplc="1B9441C4">
      <w:numFmt w:val="bullet"/>
      <w:lvlText w:val="•"/>
      <w:lvlJc w:val="left"/>
      <w:pPr>
        <w:ind w:left="8620" w:hanging="619"/>
      </w:pPr>
      <w:rPr>
        <w:rFonts w:hint="default"/>
      </w:rPr>
    </w:lvl>
  </w:abstractNum>
  <w:abstractNum w:abstractNumId="4" w15:restartNumberingAfterBreak="0">
    <w:nsid w:val="3FFA2288"/>
    <w:multiLevelType w:val="hybridMultilevel"/>
    <w:tmpl w:val="12F6CF86"/>
    <w:lvl w:ilvl="0" w:tplc="24D8E21E">
      <w:start w:val="1"/>
      <w:numFmt w:val="lowerLetter"/>
      <w:lvlText w:val="(%1)"/>
      <w:lvlJc w:val="left"/>
      <w:pPr>
        <w:ind w:left="190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28" w:hanging="360"/>
      </w:pPr>
    </w:lvl>
    <w:lvl w:ilvl="2" w:tplc="1C09001B" w:tentative="1">
      <w:start w:val="1"/>
      <w:numFmt w:val="lowerRoman"/>
      <w:lvlText w:val="%3."/>
      <w:lvlJc w:val="right"/>
      <w:pPr>
        <w:ind w:left="3348" w:hanging="180"/>
      </w:pPr>
    </w:lvl>
    <w:lvl w:ilvl="3" w:tplc="1C09000F" w:tentative="1">
      <w:start w:val="1"/>
      <w:numFmt w:val="decimal"/>
      <w:lvlText w:val="%4."/>
      <w:lvlJc w:val="left"/>
      <w:pPr>
        <w:ind w:left="4068" w:hanging="360"/>
      </w:pPr>
    </w:lvl>
    <w:lvl w:ilvl="4" w:tplc="1C090019" w:tentative="1">
      <w:start w:val="1"/>
      <w:numFmt w:val="lowerLetter"/>
      <w:lvlText w:val="%5."/>
      <w:lvlJc w:val="left"/>
      <w:pPr>
        <w:ind w:left="4788" w:hanging="360"/>
      </w:pPr>
    </w:lvl>
    <w:lvl w:ilvl="5" w:tplc="1C09001B" w:tentative="1">
      <w:start w:val="1"/>
      <w:numFmt w:val="lowerRoman"/>
      <w:lvlText w:val="%6."/>
      <w:lvlJc w:val="right"/>
      <w:pPr>
        <w:ind w:left="5508" w:hanging="180"/>
      </w:pPr>
    </w:lvl>
    <w:lvl w:ilvl="6" w:tplc="1C09000F" w:tentative="1">
      <w:start w:val="1"/>
      <w:numFmt w:val="decimal"/>
      <w:lvlText w:val="%7."/>
      <w:lvlJc w:val="left"/>
      <w:pPr>
        <w:ind w:left="6228" w:hanging="360"/>
      </w:pPr>
    </w:lvl>
    <w:lvl w:ilvl="7" w:tplc="1C090019" w:tentative="1">
      <w:start w:val="1"/>
      <w:numFmt w:val="lowerLetter"/>
      <w:lvlText w:val="%8."/>
      <w:lvlJc w:val="left"/>
      <w:pPr>
        <w:ind w:left="6948" w:hanging="360"/>
      </w:pPr>
    </w:lvl>
    <w:lvl w:ilvl="8" w:tplc="1C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 w15:restartNumberingAfterBreak="0">
    <w:nsid w:val="70C20161"/>
    <w:multiLevelType w:val="hybridMultilevel"/>
    <w:tmpl w:val="13305C54"/>
    <w:lvl w:ilvl="0" w:tplc="78CA834A">
      <w:start w:val="1"/>
      <w:numFmt w:val="lowerLetter"/>
      <w:lvlText w:val="(%1)"/>
      <w:lvlJc w:val="left"/>
      <w:pPr>
        <w:ind w:left="1556" w:hanging="718"/>
        <w:jc w:val="left"/>
      </w:pPr>
      <w:rPr>
        <w:rFonts w:hint="default"/>
        <w:spacing w:val="-3"/>
        <w:w w:val="81"/>
        <w:position w:val="-1"/>
      </w:rPr>
    </w:lvl>
    <w:lvl w:ilvl="1" w:tplc="240427E4">
      <w:numFmt w:val="bullet"/>
      <w:lvlText w:val="•"/>
      <w:lvlJc w:val="left"/>
      <w:pPr>
        <w:ind w:left="2378" w:hanging="718"/>
      </w:pPr>
      <w:rPr>
        <w:rFonts w:hint="default"/>
      </w:rPr>
    </w:lvl>
    <w:lvl w:ilvl="2" w:tplc="C116F63C">
      <w:numFmt w:val="bullet"/>
      <w:lvlText w:val="•"/>
      <w:lvlJc w:val="left"/>
      <w:pPr>
        <w:ind w:left="3196" w:hanging="718"/>
      </w:pPr>
      <w:rPr>
        <w:rFonts w:hint="default"/>
      </w:rPr>
    </w:lvl>
    <w:lvl w:ilvl="3" w:tplc="0D0E48AC">
      <w:numFmt w:val="bullet"/>
      <w:lvlText w:val="•"/>
      <w:lvlJc w:val="left"/>
      <w:pPr>
        <w:ind w:left="4014" w:hanging="718"/>
      </w:pPr>
      <w:rPr>
        <w:rFonts w:hint="default"/>
      </w:rPr>
    </w:lvl>
    <w:lvl w:ilvl="4" w:tplc="6D3C224C">
      <w:numFmt w:val="bullet"/>
      <w:lvlText w:val="•"/>
      <w:lvlJc w:val="left"/>
      <w:pPr>
        <w:ind w:left="4832" w:hanging="718"/>
      </w:pPr>
      <w:rPr>
        <w:rFonts w:hint="default"/>
      </w:rPr>
    </w:lvl>
    <w:lvl w:ilvl="5" w:tplc="30080AF4">
      <w:numFmt w:val="bullet"/>
      <w:lvlText w:val="•"/>
      <w:lvlJc w:val="left"/>
      <w:pPr>
        <w:ind w:left="5651" w:hanging="718"/>
      </w:pPr>
      <w:rPr>
        <w:rFonts w:hint="default"/>
      </w:rPr>
    </w:lvl>
    <w:lvl w:ilvl="6" w:tplc="B1F49474">
      <w:numFmt w:val="bullet"/>
      <w:lvlText w:val="•"/>
      <w:lvlJc w:val="left"/>
      <w:pPr>
        <w:ind w:left="6469" w:hanging="718"/>
      </w:pPr>
      <w:rPr>
        <w:rFonts w:hint="default"/>
      </w:rPr>
    </w:lvl>
    <w:lvl w:ilvl="7" w:tplc="AC0CBB6C">
      <w:numFmt w:val="bullet"/>
      <w:lvlText w:val="•"/>
      <w:lvlJc w:val="left"/>
      <w:pPr>
        <w:ind w:left="7287" w:hanging="718"/>
      </w:pPr>
      <w:rPr>
        <w:rFonts w:hint="default"/>
      </w:rPr>
    </w:lvl>
    <w:lvl w:ilvl="8" w:tplc="CD1A0424">
      <w:numFmt w:val="bullet"/>
      <w:lvlText w:val="•"/>
      <w:lvlJc w:val="left"/>
      <w:pPr>
        <w:ind w:left="8105" w:hanging="71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1842"/>
    <w:rsid w:val="00105B01"/>
    <w:rsid w:val="00121842"/>
    <w:rsid w:val="002F61BD"/>
    <w:rsid w:val="007B00B9"/>
    <w:rsid w:val="00EE0C7D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F090CBD-7F8A-40CD-8EB4-3DE302FC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37" w:firstLine="8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ind w:left="1550" w:hanging="714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6"/>
      <w:outlineLvl w:val="2"/>
    </w:pPr>
    <w:rPr>
      <w:rFonts w:ascii="Arial" w:eastAsia="Arial" w:hAnsi="Arial" w:cs="Arial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9"/>
      <w:ind w:left="1560" w:hanging="7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2017-06-30T10:37:00Z</dcterms:created>
  <dcterms:modified xsi:type="dcterms:W3CDTF">2017-06-30T08:57:00Z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