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F9" w:rsidRPr="000175A9" w:rsidRDefault="00E958F9" w:rsidP="000175A9">
      <w:pPr>
        <w:spacing w:before="1"/>
        <w:rPr>
          <w:rFonts w:ascii="Arial" w:eastAsia="Times New Roman" w:hAnsi="Arial" w:cs="Arial"/>
          <w:sz w:val="24"/>
          <w:szCs w:val="24"/>
        </w:rPr>
      </w:pPr>
      <w:bookmarkStart w:id="0" w:name="_GoBack"/>
    </w:p>
    <w:p w:rsidR="00E958F9" w:rsidRPr="000175A9" w:rsidRDefault="000C76AF" w:rsidP="000175A9">
      <w:pPr>
        <w:tabs>
          <w:tab w:val="left" w:pos="7193"/>
        </w:tabs>
        <w:ind w:left="3622"/>
        <w:rPr>
          <w:rFonts w:ascii="Arial" w:eastAsia="Times New Roman" w:hAnsi="Arial" w:cs="Arial"/>
          <w:sz w:val="24"/>
          <w:szCs w:val="24"/>
        </w:rPr>
      </w:pPr>
      <w:r w:rsidRPr="000175A9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950975" cy="853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5A9">
        <w:rPr>
          <w:rFonts w:ascii="Arial" w:hAnsi="Arial" w:cs="Arial"/>
          <w:sz w:val="24"/>
          <w:szCs w:val="24"/>
        </w:rPr>
        <w:tab/>
      </w:r>
      <w:r w:rsidRPr="000175A9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1682495" cy="14386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5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F9" w:rsidRPr="000175A9" w:rsidRDefault="00E958F9" w:rsidP="000175A9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0175A9" w:rsidRDefault="000C76AF" w:rsidP="000175A9">
      <w:pPr>
        <w:pStyle w:val="BodyText"/>
        <w:spacing w:before="65"/>
        <w:ind w:left="0" w:right="37" w:hanging="6"/>
        <w:jc w:val="center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HIGH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COURT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MALA</w:t>
      </w:r>
      <w:r w:rsidRPr="000175A9">
        <w:rPr>
          <w:rFonts w:ascii="Arial" w:hAnsi="Arial" w:cs="Arial"/>
          <w:sz w:val="24"/>
          <w:szCs w:val="24"/>
        </w:rPr>
        <w:t>WI</w:t>
      </w:r>
    </w:p>
    <w:p w:rsidR="00E958F9" w:rsidRPr="000175A9" w:rsidRDefault="000C76AF" w:rsidP="000175A9">
      <w:pPr>
        <w:pStyle w:val="BodyText"/>
        <w:spacing w:before="65"/>
        <w:ind w:left="0" w:right="37" w:hanging="6"/>
        <w:jc w:val="center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PRINCIPAL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REGISTRY</w:t>
      </w:r>
    </w:p>
    <w:p w:rsidR="00E958F9" w:rsidRPr="000175A9" w:rsidRDefault="000C76AF" w:rsidP="000175A9">
      <w:pPr>
        <w:pStyle w:val="BodyText"/>
        <w:spacing w:before="18"/>
        <w:ind w:left="0" w:right="37" w:hanging="6"/>
        <w:jc w:val="center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P</w:t>
      </w:r>
      <w:r w:rsidRPr="000175A9">
        <w:rPr>
          <w:rFonts w:ascii="Arial" w:hAnsi="Arial" w:cs="Arial"/>
          <w:sz w:val="24"/>
          <w:szCs w:val="24"/>
        </w:rPr>
        <w:t>ERSONAL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INJURY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CAUSE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NUMBER 780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</w:t>
      </w:r>
      <w:r w:rsidRPr="000175A9">
        <w:rPr>
          <w:rFonts w:ascii="Arial" w:hAnsi="Arial" w:cs="Arial"/>
          <w:sz w:val="24"/>
          <w:szCs w:val="24"/>
        </w:rPr>
        <w:t>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2015</w:t>
      </w:r>
    </w:p>
    <w:p w:rsidR="00E958F9" w:rsidRPr="000175A9" w:rsidRDefault="00E958F9" w:rsidP="000175A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0175A9" w:rsidRDefault="000175A9" w:rsidP="000175A9">
      <w:pPr>
        <w:pStyle w:val="BodyText"/>
        <w:spacing w:before="65"/>
        <w:rPr>
          <w:rFonts w:ascii="Arial" w:hAnsi="Arial" w:cs="Arial"/>
          <w:sz w:val="24"/>
          <w:szCs w:val="24"/>
        </w:rPr>
        <w:sectPr w:rsidR="000175A9">
          <w:footerReference w:type="even" r:id="rId9"/>
          <w:footerReference w:type="default" r:id="rId10"/>
          <w:type w:val="continuous"/>
          <w:pgSz w:w="12240" w:h="16900"/>
          <w:pgMar w:top="640" w:right="1160" w:bottom="2500" w:left="1120" w:header="720" w:footer="1318" w:gutter="0"/>
          <w:cols w:space="720"/>
        </w:sectPr>
      </w:pPr>
    </w:p>
    <w:p w:rsidR="00E958F9" w:rsidRPr="000175A9" w:rsidRDefault="000C76AF" w:rsidP="000175A9">
      <w:pPr>
        <w:pStyle w:val="BodyText"/>
        <w:spacing w:before="65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B</w:t>
      </w:r>
      <w:r w:rsidRPr="000175A9">
        <w:rPr>
          <w:rFonts w:ascii="Arial" w:hAnsi="Arial" w:cs="Arial"/>
          <w:sz w:val="24"/>
          <w:szCs w:val="24"/>
        </w:rPr>
        <w:t>ETWEEN:</w:t>
      </w:r>
    </w:p>
    <w:p w:rsidR="00E958F9" w:rsidRPr="000175A9" w:rsidRDefault="00E958F9" w:rsidP="000175A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E958F9" w:rsidRPr="000175A9" w:rsidRDefault="000C76AF" w:rsidP="000175A9">
      <w:pPr>
        <w:pStyle w:val="BodyText"/>
        <w:tabs>
          <w:tab w:val="left" w:pos="7419"/>
        </w:tabs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ANDSON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KAB</w:t>
      </w:r>
      <w:r w:rsidRPr="000175A9">
        <w:rPr>
          <w:rFonts w:ascii="Arial" w:hAnsi="Arial" w:cs="Arial"/>
          <w:sz w:val="24"/>
          <w:szCs w:val="24"/>
        </w:rPr>
        <w:t>OTOLO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OTHERS</w:t>
      </w:r>
      <w:r w:rsidRPr="000175A9">
        <w:rPr>
          <w:rFonts w:ascii="Arial" w:hAnsi="Arial" w:cs="Arial"/>
          <w:sz w:val="24"/>
          <w:szCs w:val="24"/>
        </w:rPr>
        <w:tab/>
        <w:t>PL</w:t>
      </w:r>
      <w:r w:rsidRPr="000175A9">
        <w:rPr>
          <w:rFonts w:ascii="Arial" w:hAnsi="Arial" w:cs="Arial"/>
          <w:sz w:val="24"/>
          <w:szCs w:val="24"/>
        </w:rPr>
        <w:t>AINTIFFS</w:t>
      </w:r>
    </w:p>
    <w:p w:rsidR="00E958F9" w:rsidRPr="000175A9" w:rsidRDefault="00E958F9" w:rsidP="000175A9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E958F9" w:rsidRPr="000175A9" w:rsidRDefault="00E958F9" w:rsidP="000175A9">
      <w:pPr>
        <w:rPr>
          <w:rFonts w:ascii="Arial" w:eastAsia="Times New Roman" w:hAnsi="Arial" w:cs="Arial"/>
          <w:sz w:val="24"/>
          <w:szCs w:val="24"/>
        </w:rPr>
        <w:sectPr w:rsidR="00E958F9" w:rsidRPr="000175A9" w:rsidSect="000175A9">
          <w:type w:val="continuous"/>
          <w:pgSz w:w="12240" w:h="16900"/>
          <w:pgMar w:top="640" w:right="1160" w:bottom="2500" w:left="1120" w:header="720" w:footer="1318" w:gutter="0"/>
          <w:cols w:space="720"/>
        </w:sectPr>
      </w:pPr>
    </w:p>
    <w:p w:rsidR="00E958F9" w:rsidRPr="000175A9" w:rsidRDefault="000C76AF" w:rsidP="000175A9">
      <w:pPr>
        <w:pStyle w:val="BodyText"/>
        <w:spacing w:before="65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AND</w:t>
      </w:r>
    </w:p>
    <w:p w:rsidR="00E958F9" w:rsidRPr="000175A9" w:rsidRDefault="00E958F9" w:rsidP="000175A9">
      <w:pPr>
        <w:spacing w:before="3"/>
        <w:rPr>
          <w:rFonts w:ascii="Arial" w:eastAsia="Times New Roman" w:hAnsi="Arial" w:cs="Arial"/>
          <w:sz w:val="24"/>
          <w:szCs w:val="24"/>
        </w:rPr>
      </w:pPr>
    </w:p>
    <w:p w:rsidR="00E958F9" w:rsidRDefault="000C76AF" w:rsidP="000175A9">
      <w:pPr>
        <w:pStyle w:val="BodyText"/>
        <w:ind w:left="185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CHIFUNDO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CHI</w:t>
      </w:r>
      <w:r w:rsidRPr="000175A9">
        <w:rPr>
          <w:rFonts w:ascii="Arial" w:hAnsi="Arial" w:cs="Arial"/>
          <w:sz w:val="24"/>
          <w:szCs w:val="24"/>
        </w:rPr>
        <w:t>RWA</w:t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 w:rsidRPr="000175A9">
        <w:rPr>
          <w:rFonts w:ascii="Arial" w:hAnsi="Arial" w:cs="Arial"/>
          <w:sz w:val="24"/>
          <w:szCs w:val="24"/>
        </w:rPr>
        <w:t>1</w:t>
      </w:r>
      <w:r w:rsidR="000175A9" w:rsidRPr="000175A9">
        <w:rPr>
          <w:rFonts w:ascii="Arial" w:hAnsi="Arial" w:cs="Arial"/>
          <w:sz w:val="24"/>
          <w:szCs w:val="24"/>
          <w:vertAlign w:val="superscript"/>
        </w:rPr>
        <w:t>st</w:t>
      </w:r>
      <w:r w:rsidR="000175A9" w:rsidRPr="000175A9">
        <w:rPr>
          <w:rFonts w:ascii="Arial" w:hAnsi="Arial" w:cs="Arial"/>
          <w:sz w:val="24"/>
          <w:szCs w:val="24"/>
        </w:rPr>
        <w:t xml:space="preserve"> DEFENDANT</w:t>
      </w:r>
    </w:p>
    <w:p w:rsidR="000175A9" w:rsidRPr="000175A9" w:rsidRDefault="000175A9" w:rsidP="000175A9">
      <w:pPr>
        <w:pStyle w:val="BodyText"/>
        <w:ind w:left="185"/>
        <w:rPr>
          <w:rFonts w:ascii="Arial" w:hAnsi="Arial" w:cs="Arial"/>
          <w:sz w:val="24"/>
          <w:szCs w:val="24"/>
        </w:rPr>
      </w:pPr>
    </w:p>
    <w:p w:rsidR="000175A9" w:rsidRPr="000175A9" w:rsidRDefault="000C76AF" w:rsidP="000175A9">
      <w:pPr>
        <w:pStyle w:val="BodyText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REAL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INSURA</w:t>
      </w:r>
      <w:r w:rsidRPr="000175A9">
        <w:rPr>
          <w:rFonts w:ascii="Arial" w:hAnsi="Arial" w:cs="Arial"/>
          <w:sz w:val="24"/>
          <w:szCs w:val="24"/>
        </w:rPr>
        <w:t>N</w:t>
      </w:r>
      <w:r w:rsidRPr="000175A9">
        <w:rPr>
          <w:rFonts w:ascii="Arial" w:hAnsi="Arial" w:cs="Arial"/>
          <w:sz w:val="24"/>
          <w:szCs w:val="24"/>
        </w:rPr>
        <w:t>CE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COMPANY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LTD</w:t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>2</w:t>
      </w:r>
      <w:r w:rsidR="000175A9" w:rsidRPr="000175A9">
        <w:rPr>
          <w:rFonts w:ascii="Arial" w:hAnsi="Arial" w:cs="Arial"/>
          <w:sz w:val="24"/>
          <w:szCs w:val="24"/>
          <w:vertAlign w:val="superscript"/>
        </w:rPr>
        <w:t>nd</w:t>
      </w:r>
      <w:r w:rsidR="000175A9" w:rsidRPr="000175A9">
        <w:rPr>
          <w:rFonts w:ascii="Arial" w:hAnsi="Arial" w:cs="Arial"/>
          <w:sz w:val="24"/>
          <w:szCs w:val="24"/>
        </w:rPr>
        <w:t xml:space="preserve"> DEFENDANT</w:t>
      </w:r>
    </w:p>
    <w:p w:rsidR="000175A9" w:rsidRDefault="000175A9" w:rsidP="000175A9">
      <w:pPr>
        <w:pStyle w:val="BodyText"/>
        <w:spacing w:before="45"/>
        <w:ind w:left="0"/>
        <w:rPr>
          <w:rFonts w:ascii="Arial" w:hAnsi="Arial" w:cs="Arial"/>
          <w:sz w:val="24"/>
          <w:szCs w:val="24"/>
        </w:rPr>
      </w:pPr>
    </w:p>
    <w:p w:rsidR="00E958F9" w:rsidRPr="000175A9" w:rsidRDefault="000C76AF" w:rsidP="000175A9">
      <w:pPr>
        <w:pStyle w:val="BodyText"/>
        <w:spacing w:before="45"/>
        <w:ind w:left="171" w:hanging="5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ENOCK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LIKA</w:t>
      </w:r>
      <w:r w:rsidRPr="000175A9">
        <w:rPr>
          <w:rFonts w:ascii="Arial" w:hAnsi="Arial" w:cs="Arial"/>
          <w:sz w:val="24"/>
          <w:szCs w:val="24"/>
        </w:rPr>
        <w:t>NGA</w:t>
      </w:r>
      <w:r w:rsid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CHIRW</w:t>
      </w:r>
      <w:r w:rsidRPr="000175A9">
        <w:rPr>
          <w:rFonts w:ascii="Arial" w:hAnsi="Arial" w:cs="Arial"/>
          <w:sz w:val="24"/>
          <w:szCs w:val="24"/>
        </w:rPr>
        <w:t>A</w:t>
      </w:r>
    </w:p>
    <w:p w:rsidR="000175A9" w:rsidRDefault="000C76AF" w:rsidP="000175A9">
      <w:pPr>
        <w:ind w:left="180"/>
        <w:rPr>
          <w:rFonts w:ascii="Arial" w:hAnsi="Arial" w:cs="Arial"/>
          <w:sz w:val="24"/>
          <w:szCs w:val="24"/>
        </w:rPr>
      </w:pPr>
      <w:proofErr w:type="gramStart"/>
      <w:r w:rsidRPr="000175A9">
        <w:rPr>
          <w:rFonts w:ascii="Arial" w:hAnsi="Arial" w:cs="Arial"/>
          <w:sz w:val="24"/>
          <w:szCs w:val="24"/>
        </w:rPr>
        <w:t>t/</w:t>
      </w:r>
      <w:proofErr w:type="gramEnd"/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LIKANGA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RANSPORT</w:t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>
        <w:rPr>
          <w:rFonts w:ascii="Arial" w:hAnsi="Arial" w:cs="Arial"/>
          <w:sz w:val="24"/>
          <w:szCs w:val="24"/>
        </w:rPr>
        <w:tab/>
      </w:r>
      <w:r w:rsidR="000175A9" w:rsidRPr="000175A9">
        <w:rPr>
          <w:rFonts w:ascii="Arial" w:hAnsi="Arial" w:cs="Arial"/>
          <w:sz w:val="24"/>
          <w:szCs w:val="24"/>
        </w:rPr>
        <w:t>3</w:t>
      </w:r>
      <w:r w:rsidR="000175A9" w:rsidRPr="000175A9">
        <w:rPr>
          <w:rFonts w:ascii="Arial" w:hAnsi="Arial" w:cs="Arial"/>
          <w:sz w:val="24"/>
          <w:szCs w:val="24"/>
          <w:vertAlign w:val="superscript"/>
        </w:rPr>
        <w:t>rd</w:t>
      </w:r>
      <w:r w:rsidR="000175A9" w:rsidRPr="000175A9">
        <w:rPr>
          <w:rFonts w:ascii="Arial" w:hAnsi="Arial" w:cs="Arial"/>
          <w:sz w:val="24"/>
          <w:szCs w:val="24"/>
        </w:rPr>
        <w:t xml:space="preserve"> DEFENDANT</w:t>
      </w:r>
    </w:p>
    <w:p w:rsidR="00E958F9" w:rsidRPr="000175A9" w:rsidRDefault="000C76AF" w:rsidP="000175A9">
      <w:pPr>
        <w:rPr>
          <w:rFonts w:ascii="Arial" w:eastAsia="Times New Roman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45pt;margin-top:748.8pt;width:125.75pt;height:76.8pt;z-index:251657728;mso-position-horizontal-relative:page;mso-position-vertical-relative:page">
            <v:imagedata r:id="rId11" o:title=""/>
            <w10:wrap anchorx="page" anchory="page"/>
          </v:shape>
        </w:pict>
      </w:r>
    </w:p>
    <w:p w:rsidR="00E958F9" w:rsidRPr="000175A9" w:rsidRDefault="000C76AF" w:rsidP="000175A9">
      <w:pPr>
        <w:pStyle w:val="BodyText"/>
        <w:spacing w:before="65"/>
        <w:ind w:left="180"/>
        <w:jc w:val="both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C</w:t>
      </w:r>
      <w:r w:rsidRPr="000175A9">
        <w:rPr>
          <w:rFonts w:ascii="Arial" w:hAnsi="Arial" w:cs="Arial"/>
          <w:sz w:val="24"/>
          <w:szCs w:val="24"/>
        </w:rPr>
        <w:t>ORAM: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JUSTI</w:t>
      </w:r>
      <w:r w:rsidRPr="000175A9">
        <w:rPr>
          <w:rFonts w:ascii="Arial" w:hAnsi="Arial" w:cs="Arial"/>
          <w:sz w:val="24"/>
          <w:szCs w:val="24"/>
        </w:rPr>
        <w:t>CE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M.</w:t>
      </w:r>
      <w:r w:rsidRPr="000175A9">
        <w:rPr>
          <w:rFonts w:ascii="Arial" w:hAnsi="Arial" w:cs="Arial"/>
          <w:sz w:val="24"/>
          <w:szCs w:val="24"/>
        </w:rPr>
        <w:t>A.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TEMBO</w:t>
      </w:r>
    </w:p>
    <w:p w:rsidR="000175A9" w:rsidRDefault="000C76AF" w:rsidP="000175A9">
      <w:pPr>
        <w:pStyle w:val="BodyText"/>
        <w:ind w:left="180" w:right="5509" w:firstLine="9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Sauti,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Couns</w:t>
      </w:r>
      <w:r w:rsidRPr="000175A9">
        <w:rPr>
          <w:rFonts w:ascii="Arial" w:hAnsi="Arial" w:cs="Arial"/>
          <w:sz w:val="24"/>
          <w:szCs w:val="24"/>
        </w:rPr>
        <w:t>el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for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</w:t>
      </w:r>
      <w:r w:rsidRPr="000175A9">
        <w:rPr>
          <w:rFonts w:ascii="Arial" w:hAnsi="Arial" w:cs="Arial"/>
          <w:sz w:val="24"/>
          <w:szCs w:val="24"/>
        </w:rPr>
        <w:t>n</w:t>
      </w:r>
      <w:r w:rsidRPr="000175A9">
        <w:rPr>
          <w:rFonts w:ascii="Arial" w:hAnsi="Arial" w:cs="Arial"/>
          <w:sz w:val="24"/>
          <w:szCs w:val="24"/>
        </w:rPr>
        <w:t>tiffs</w:t>
      </w:r>
    </w:p>
    <w:p w:rsidR="00E958F9" w:rsidRPr="000175A9" w:rsidRDefault="000C76AF" w:rsidP="000175A9">
      <w:pPr>
        <w:pStyle w:val="BodyText"/>
        <w:ind w:left="180" w:right="5509" w:firstLine="9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Defendants,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>bsent</w:t>
      </w:r>
    </w:p>
    <w:p w:rsidR="00E958F9" w:rsidRPr="000175A9" w:rsidRDefault="000C76AF" w:rsidP="000175A9">
      <w:pPr>
        <w:pStyle w:val="BodyText"/>
        <w:ind w:left="180"/>
        <w:rPr>
          <w:rFonts w:ascii="Arial" w:hAnsi="Arial" w:cs="Arial"/>
          <w:sz w:val="24"/>
          <w:szCs w:val="24"/>
        </w:rPr>
      </w:pPr>
      <w:proofErr w:type="spellStart"/>
      <w:r w:rsidRPr="000175A9">
        <w:rPr>
          <w:rFonts w:ascii="Arial" w:hAnsi="Arial" w:cs="Arial"/>
          <w:sz w:val="24"/>
          <w:szCs w:val="24"/>
        </w:rPr>
        <w:t>Mtegha</w:t>
      </w:r>
      <w:proofErr w:type="spellEnd"/>
      <w:r w:rsidRPr="000175A9">
        <w:rPr>
          <w:rFonts w:ascii="Arial" w:hAnsi="Arial" w:cs="Arial"/>
          <w:sz w:val="24"/>
          <w:szCs w:val="24"/>
        </w:rPr>
        <w:t>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Offic</w:t>
      </w:r>
      <w:r w:rsidRPr="000175A9">
        <w:rPr>
          <w:rFonts w:ascii="Arial" w:hAnsi="Arial" w:cs="Arial"/>
          <w:sz w:val="24"/>
          <w:szCs w:val="24"/>
        </w:rPr>
        <w:t>ial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Court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Interpreter</w:t>
      </w:r>
    </w:p>
    <w:p w:rsidR="00E958F9" w:rsidRPr="000175A9" w:rsidRDefault="00E958F9" w:rsidP="000175A9">
      <w:pPr>
        <w:rPr>
          <w:rFonts w:ascii="Arial" w:eastAsia="Times New Roman" w:hAnsi="Arial" w:cs="Arial"/>
          <w:sz w:val="24"/>
          <w:szCs w:val="24"/>
        </w:rPr>
      </w:pPr>
    </w:p>
    <w:p w:rsidR="00E958F9" w:rsidRPr="000175A9" w:rsidRDefault="00E958F9" w:rsidP="000175A9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E958F9" w:rsidRPr="000175A9" w:rsidRDefault="000C76AF" w:rsidP="000175A9">
      <w:pPr>
        <w:pStyle w:val="BodyText"/>
        <w:ind w:left="0" w:right="667"/>
        <w:jc w:val="center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JUDGMENT</w:t>
      </w:r>
    </w:p>
    <w:p w:rsidR="00E958F9" w:rsidRPr="000175A9" w:rsidRDefault="00E958F9" w:rsidP="000175A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E958F9" w:rsidRPr="000175A9" w:rsidRDefault="000C76AF" w:rsidP="000175A9">
      <w:pPr>
        <w:pStyle w:val="BodyText"/>
        <w:ind w:left="185" w:right="311" w:hanging="5"/>
        <w:jc w:val="both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This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court's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judgment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following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trial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matter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</w:t>
      </w:r>
      <w:r w:rsidRPr="000175A9">
        <w:rPr>
          <w:rFonts w:ascii="Arial" w:hAnsi="Arial" w:cs="Arial"/>
          <w:sz w:val="24"/>
          <w:szCs w:val="24"/>
        </w:rPr>
        <w:t>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plaintiffs'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claim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for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damages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for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</w:t>
      </w:r>
      <w:r w:rsidRPr="000175A9">
        <w:rPr>
          <w:rFonts w:ascii="Arial" w:hAnsi="Arial" w:cs="Arial"/>
          <w:sz w:val="24"/>
          <w:szCs w:val="24"/>
        </w:rPr>
        <w:t>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personal</w:t>
      </w:r>
      <w:r w:rsid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injuries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had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suffered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due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alleged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negligence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part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1</w:t>
      </w:r>
      <w:r w:rsidRPr="000175A9">
        <w:rPr>
          <w:rFonts w:ascii="Arial" w:hAnsi="Arial" w:cs="Arial"/>
          <w:sz w:val="24"/>
          <w:szCs w:val="24"/>
          <w:vertAlign w:val="superscript"/>
        </w:rPr>
        <w:t>s</w:t>
      </w:r>
      <w:r w:rsidRPr="000175A9">
        <w:rPr>
          <w:rFonts w:ascii="Arial" w:hAnsi="Arial" w:cs="Arial"/>
          <w:sz w:val="24"/>
          <w:szCs w:val="24"/>
          <w:vertAlign w:val="superscript"/>
        </w:rPr>
        <w:t>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defendant</w:t>
      </w:r>
      <w:r w:rsidRPr="000175A9">
        <w:rPr>
          <w:rFonts w:ascii="Arial" w:hAnsi="Arial" w:cs="Arial"/>
          <w:sz w:val="24"/>
          <w:szCs w:val="24"/>
        </w:rPr>
        <w:t>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</w:t>
      </w:r>
      <w:r w:rsidRPr="000175A9">
        <w:rPr>
          <w:rFonts w:ascii="Arial" w:hAnsi="Arial" w:cs="Arial"/>
          <w:sz w:val="24"/>
          <w:szCs w:val="24"/>
        </w:rPr>
        <w:t>ho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insured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2</w:t>
      </w:r>
      <w:r w:rsidRPr="000175A9">
        <w:rPr>
          <w:rFonts w:ascii="Arial" w:hAnsi="Arial" w:cs="Arial"/>
          <w:sz w:val="24"/>
          <w:szCs w:val="24"/>
          <w:vertAlign w:val="superscript"/>
        </w:rPr>
        <w:t>nd</w:t>
      </w:r>
      <w:r w:rsid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defend</w:t>
      </w:r>
      <w:r w:rsidRPr="000175A9">
        <w:rPr>
          <w:rFonts w:ascii="Arial" w:hAnsi="Arial" w:cs="Arial"/>
          <w:sz w:val="24"/>
          <w:szCs w:val="24"/>
        </w:rPr>
        <w:t>ant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employed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3</w:t>
      </w:r>
      <w:r w:rsidRPr="000175A9">
        <w:rPr>
          <w:rFonts w:ascii="Arial" w:hAnsi="Arial" w:cs="Arial"/>
          <w:sz w:val="24"/>
          <w:szCs w:val="24"/>
          <w:vertAlign w:val="superscript"/>
        </w:rPr>
        <w:t>rd</w:t>
      </w:r>
      <w:r w:rsid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defendan</w:t>
      </w:r>
      <w:r w:rsidRPr="000175A9">
        <w:rPr>
          <w:rFonts w:ascii="Arial" w:hAnsi="Arial" w:cs="Arial"/>
          <w:sz w:val="24"/>
          <w:szCs w:val="24"/>
        </w:rPr>
        <w:t>t,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manner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drove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truck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trailer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</w:t>
      </w:r>
      <w:r w:rsidRPr="000175A9">
        <w:rPr>
          <w:rFonts w:ascii="Arial" w:hAnsi="Arial" w:cs="Arial"/>
          <w:sz w:val="24"/>
          <w:szCs w:val="24"/>
        </w:rPr>
        <w:t>erein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resulting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</w:p>
    <w:p w:rsidR="00E958F9" w:rsidRPr="000175A9" w:rsidRDefault="00E958F9" w:rsidP="000175A9">
      <w:pPr>
        <w:jc w:val="both"/>
        <w:rPr>
          <w:rFonts w:ascii="Arial" w:hAnsi="Arial" w:cs="Arial"/>
          <w:sz w:val="24"/>
          <w:szCs w:val="24"/>
        </w:rPr>
        <w:sectPr w:rsidR="00E958F9" w:rsidRPr="000175A9">
          <w:type w:val="continuous"/>
          <w:pgSz w:w="12240" w:h="16900"/>
          <w:pgMar w:top="640" w:right="1160" w:bottom="2500" w:left="1120" w:header="720" w:footer="720" w:gutter="0"/>
          <w:cols w:space="720"/>
        </w:sectPr>
      </w:pPr>
    </w:p>
    <w:p w:rsidR="00E958F9" w:rsidRPr="000175A9" w:rsidRDefault="00E958F9" w:rsidP="000175A9">
      <w:pPr>
        <w:rPr>
          <w:rFonts w:ascii="Arial" w:eastAsia="Times New Roman" w:hAnsi="Arial" w:cs="Arial"/>
          <w:sz w:val="24"/>
          <w:szCs w:val="24"/>
        </w:rPr>
      </w:pPr>
    </w:p>
    <w:p w:rsidR="00E958F9" w:rsidRPr="000175A9" w:rsidRDefault="000C76AF" w:rsidP="000175A9">
      <w:pPr>
        <w:pStyle w:val="BodyText"/>
        <w:spacing w:before="214"/>
        <w:ind w:left="111" w:right="155"/>
        <w:jc w:val="both"/>
        <w:rPr>
          <w:rFonts w:ascii="Arial" w:hAnsi="Arial" w:cs="Arial"/>
          <w:sz w:val="24"/>
          <w:szCs w:val="24"/>
        </w:rPr>
      </w:pPr>
      <w:proofErr w:type="gramStart"/>
      <w:r w:rsidRPr="000175A9">
        <w:rPr>
          <w:rFonts w:ascii="Arial" w:hAnsi="Arial" w:cs="Arial"/>
          <w:sz w:val="24"/>
          <w:szCs w:val="24"/>
        </w:rPr>
        <w:t>the</w:t>
      </w:r>
      <w:proofErr w:type="gramEnd"/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said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ra</w:t>
      </w:r>
      <w:r w:rsidRPr="000175A9">
        <w:rPr>
          <w:rFonts w:ascii="Arial" w:hAnsi="Arial" w:cs="Arial"/>
          <w:sz w:val="24"/>
          <w:szCs w:val="24"/>
        </w:rPr>
        <w:t>iler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colliding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with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motor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vehicle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which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</w:t>
      </w:r>
      <w:r w:rsidRPr="000175A9">
        <w:rPr>
          <w:rFonts w:ascii="Arial" w:hAnsi="Arial" w:cs="Arial"/>
          <w:sz w:val="24"/>
          <w:szCs w:val="24"/>
        </w:rPr>
        <w:t>laintiffs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were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travelling.</w:t>
      </w:r>
    </w:p>
    <w:p w:rsidR="00E958F9" w:rsidRPr="000175A9" w:rsidRDefault="000C76AF" w:rsidP="000175A9">
      <w:pPr>
        <w:pStyle w:val="BodyText"/>
        <w:spacing w:before="183"/>
        <w:ind w:left="120" w:right="137"/>
        <w:jc w:val="both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</w:t>
      </w:r>
      <w:r w:rsidRPr="000175A9">
        <w:rPr>
          <w:rFonts w:ascii="Arial" w:hAnsi="Arial" w:cs="Arial"/>
          <w:sz w:val="24"/>
          <w:szCs w:val="24"/>
        </w:rPr>
        <w:t>i</w:t>
      </w:r>
      <w:r w:rsidRPr="000175A9">
        <w:rPr>
          <w:rFonts w:ascii="Arial" w:hAnsi="Arial" w:cs="Arial"/>
          <w:sz w:val="24"/>
          <w:szCs w:val="24"/>
        </w:rPr>
        <w:t>ffs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testified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trial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their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claim</w:t>
      </w:r>
      <w:r w:rsidRPr="000175A9">
        <w:rPr>
          <w:rFonts w:ascii="Arial" w:hAnsi="Arial" w:cs="Arial"/>
          <w:sz w:val="24"/>
          <w:szCs w:val="24"/>
        </w:rPr>
        <w:t>.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plaintiffs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>lso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filed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skeleton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arguments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</w:t>
      </w:r>
      <w:r w:rsidRPr="000175A9">
        <w:rPr>
          <w:rFonts w:ascii="Arial" w:hAnsi="Arial" w:cs="Arial"/>
          <w:sz w:val="24"/>
          <w:szCs w:val="24"/>
        </w:rPr>
        <w:t>upport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claim.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defendants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neither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bro</w:t>
      </w:r>
      <w:r w:rsidRPr="000175A9">
        <w:rPr>
          <w:rFonts w:ascii="Arial" w:hAnsi="Arial" w:cs="Arial"/>
          <w:sz w:val="24"/>
          <w:szCs w:val="24"/>
        </w:rPr>
        <w:t>ug</w:t>
      </w:r>
      <w:r w:rsidRPr="000175A9">
        <w:rPr>
          <w:rFonts w:ascii="Arial" w:hAnsi="Arial" w:cs="Arial"/>
          <w:sz w:val="24"/>
          <w:szCs w:val="24"/>
        </w:rPr>
        <w:t>h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witnesses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5A9">
        <w:rPr>
          <w:rFonts w:ascii="Arial" w:hAnsi="Arial" w:cs="Arial"/>
          <w:sz w:val="24"/>
          <w:szCs w:val="24"/>
        </w:rPr>
        <w:t>defence</w:t>
      </w:r>
      <w:proofErr w:type="spellEnd"/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</w:t>
      </w:r>
      <w:r w:rsidRPr="000175A9">
        <w:rPr>
          <w:rFonts w:ascii="Arial" w:hAnsi="Arial" w:cs="Arial"/>
          <w:sz w:val="24"/>
          <w:szCs w:val="24"/>
        </w:rPr>
        <w:t>o</w:t>
      </w:r>
      <w:r w:rsidRPr="000175A9">
        <w:rPr>
          <w:rFonts w:ascii="Arial" w:hAnsi="Arial" w:cs="Arial"/>
          <w:sz w:val="24"/>
          <w:szCs w:val="24"/>
        </w:rPr>
        <w:t>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>i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attend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trial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matter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despite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due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notice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same.</w:t>
      </w:r>
    </w:p>
    <w:p w:rsidR="00E958F9" w:rsidRPr="000175A9" w:rsidRDefault="000C76AF" w:rsidP="000175A9">
      <w:pPr>
        <w:pStyle w:val="BodyText"/>
        <w:spacing w:before="200"/>
        <w:ind w:left="120" w:right="113" w:firstLine="4"/>
        <w:jc w:val="both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="000175A9">
        <w:rPr>
          <w:rFonts w:ascii="Arial" w:hAnsi="Arial" w:cs="Arial"/>
          <w:sz w:val="24"/>
          <w:szCs w:val="24"/>
        </w:rPr>
        <w:t>2</w:t>
      </w:r>
      <w:r w:rsidR="000175A9" w:rsidRPr="000175A9">
        <w:rPr>
          <w:rFonts w:ascii="Arial" w:hAnsi="Arial" w:cs="Arial"/>
          <w:sz w:val="24"/>
          <w:szCs w:val="24"/>
          <w:vertAlign w:val="superscript"/>
        </w:rPr>
        <w:t>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Aug</w:t>
      </w:r>
      <w:r w:rsidRPr="000175A9">
        <w:rPr>
          <w:rFonts w:ascii="Arial" w:hAnsi="Arial" w:cs="Arial"/>
          <w:sz w:val="24"/>
          <w:szCs w:val="24"/>
        </w:rPr>
        <w:t>u</w:t>
      </w:r>
      <w:r w:rsidRPr="000175A9">
        <w:rPr>
          <w:rFonts w:ascii="Arial" w:hAnsi="Arial" w:cs="Arial"/>
          <w:sz w:val="24"/>
          <w:szCs w:val="24"/>
        </w:rPr>
        <w:t>s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2015,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i</w:t>
      </w:r>
      <w:r w:rsidRPr="000175A9">
        <w:rPr>
          <w:rFonts w:ascii="Arial" w:hAnsi="Arial" w:cs="Arial"/>
          <w:sz w:val="24"/>
          <w:szCs w:val="24"/>
        </w:rPr>
        <w:t>ffs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were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travelling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 bus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>ir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way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back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fr</w:t>
      </w:r>
      <w:r w:rsidRPr="000175A9">
        <w:rPr>
          <w:rFonts w:ascii="Arial" w:hAnsi="Arial" w:cs="Arial"/>
          <w:sz w:val="24"/>
          <w:szCs w:val="24"/>
        </w:rPr>
        <w:t>o</w:t>
      </w:r>
      <w:r w:rsidRPr="000175A9">
        <w:rPr>
          <w:rFonts w:ascii="Arial" w:hAnsi="Arial" w:cs="Arial"/>
          <w:sz w:val="24"/>
          <w:szCs w:val="24"/>
        </w:rPr>
        <w:t>m</w:t>
      </w:r>
      <w:r w:rsidRPr="000175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5A9">
        <w:rPr>
          <w:rFonts w:ascii="Arial" w:hAnsi="Arial" w:cs="Arial"/>
          <w:sz w:val="24"/>
          <w:szCs w:val="24"/>
        </w:rPr>
        <w:t>Mulanje</w:t>
      </w:r>
      <w:proofErr w:type="spellEnd"/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where</w:t>
      </w:r>
      <w:r w:rsid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went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social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football.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appr</w:t>
      </w:r>
      <w:r w:rsidRPr="000175A9">
        <w:rPr>
          <w:rFonts w:ascii="Arial" w:hAnsi="Arial" w:cs="Arial"/>
          <w:sz w:val="24"/>
          <w:szCs w:val="24"/>
        </w:rPr>
        <w:t>oached</w:t>
      </w:r>
      <w:r w:rsidR="000175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5A9">
        <w:rPr>
          <w:rFonts w:ascii="Arial" w:hAnsi="Arial" w:cs="Arial"/>
          <w:sz w:val="24"/>
          <w:szCs w:val="24"/>
        </w:rPr>
        <w:t>Jac-Jopa</w:t>
      </w:r>
      <w:proofErr w:type="spellEnd"/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furniture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sh</w:t>
      </w:r>
      <w:r w:rsidRPr="000175A9">
        <w:rPr>
          <w:rFonts w:ascii="Arial" w:hAnsi="Arial" w:cs="Arial"/>
          <w:sz w:val="24"/>
          <w:szCs w:val="24"/>
        </w:rPr>
        <w:t>o</w:t>
      </w:r>
      <w:r w:rsidRPr="000175A9">
        <w:rPr>
          <w:rFonts w:ascii="Arial" w:hAnsi="Arial" w:cs="Arial"/>
          <w:sz w:val="24"/>
          <w:szCs w:val="24"/>
        </w:rPr>
        <w:t>p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along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road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at</w:t>
      </w:r>
      <w:r w:rsidRPr="000175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5A9">
        <w:rPr>
          <w:rFonts w:ascii="Arial" w:hAnsi="Arial" w:cs="Arial"/>
          <w:sz w:val="24"/>
          <w:szCs w:val="24"/>
        </w:rPr>
        <w:t>Masinde</w:t>
      </w:r>
      <w:proofErr w:type="spellEnd"/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Village,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along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5A9">
        <w:rPr>
          <w:rFonts w:ascii="Arial" w:hAnsi="Arial" w:cs="Arial"/>
          <w:sz w:val="24"/>
          <w:szCs w:val="24"/>
        </w:rPr>
        <w:t>Zalewa</w:t>
      </w:r>
      <w:proofErr w:type="spellEnd"/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stretch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said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ro</w:t>
      </w:r>
      <w:r w:rsidRPr="000175A9">
        <w:rPr>
          <w:rFonts w:ascii="Arial" w:hAnsi="Arial" w:cs="Arial"/>
          <w:sz w:val="24"/>
          <w:szCs w:val="24"/>
        </w:rPr>
        <w:t>ad,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bus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suddenly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saw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truc</w:t>
      </w:r>
      <w:r w:rsidRPr="000175A9">
        <w:rPr>
          <w:rFonts w:ascii="Arial" w:hAnsi="Arial" w:cs="Arial"/>
          <w:sz w:val="24"/>
          <w:szCs w:val="24"/>
        </w:rPr>
        <w:t>k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driven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1</w:t>
      </w:r>
      <w:r w:rsidRPr="000175A9">
        <w:rPr>
          <w:rFonts w:ascii="Arial" w:hAnsi="Arial" w:cs="Arial"/>
          <w:sz w:val="24"/>
          <w:szCs w:val="24"/>
          <w:vertAlign w:val="superscript"/>
        </w:rPr>
        <w:t>st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defendant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l</w:t>
      </w:r>
      <w:r w:rsidRPr="000175A9">
        <w:rPr>
          <w:rFonts w:ascii="Arial" w:hAnsi="Arial" w:cs="Arial"/>
          <w:sz w:val="24"/>
          <w:szCs w:val="24"/>
        </w:rPr>
        <w:t>ane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overtaking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another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vehicle.</w:t>
      </w:r>
    </w:p>
    <w:p w:rsidR="00E958F9" w:rsidRPr="000175A9" w:rsidRDefault="000C76AF" w:rsidP="000175A9">
      <w:pPr>
        <w:pStyle w:val="BodyText"/>
        <w:spacing w:before="190"/>
        <w:ind w:left="130" w:right="136"/>
        <w:jc w:val="both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</w:t>
      </w:r>
      <w:r w:rsidRPr="000175A9">
        <w:rPr>
          <w:rFonts w:ascii="Arial" w:hAnsi="Arial" w:cs="Arial"/>
          <w:sz w:val="24"/>
          <w:szCs w:val="24"/>
        </w:rPr>
        <w:t>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bus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whic</w:t>
      </w:r>
      <w:r w:rsidRPr="000175A9">
        <w:rPr>
          <w:rFonts w:ascii="Arial" w:hAnsi="Arial" w:cs="Arial"/>
          <w:sz w:val="24"/>
          <w:szCs w:val="24"/>
        </w:rPr>
        <w:t>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plaintiffs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were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travelling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</w:t>
      </w:r>
      <w:r w:rsidRPr="000175A9">
        <w:rPr>
          <w:rFonts w:ascii="Arial" w:hAnsi="Arial" w:cs="Arial"/>
          <w:sz w:val="24"/>
          <w:szCs w:val="24"/>
        </w:rPr>
        <w:t>ad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slow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down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suddenly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avert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head-on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collision.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He managed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just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 avoid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head-on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collision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but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bu</w:t>
      </w:r>
      <w:r w:rsidRPr="000175A9">
        <w:rPr>
          <w:rFonts w:ascii="Arial" w:hAnsi="Arial" w:cs="Arial"/>
          <w:sz w:val="24"/>
          <w:szCs w:val="24"/>
        </w:rPr>
        <w:t>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collid</w:t>
      </w:r>
      <w:r w:rsidRPr="000175A9">
        <w:rPr>
          <w:rFonts w:ascii="Arial" w:hAnsi="Arial" w:cs="Arial"/>
          <w:sz w:val="24"/>
          <w:szCs w:val="24"/>
        </w:rPr>
        <w:t>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with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rear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end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truck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driven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1</w:t>
      </w:r>
      <w:r w:rsidRPr="000175A9">
        <w:rPr>
          <w:rFonts w:ascii="Arial" w:hAnsi="Arial" w:cs="Arial"/>
          <w:sz w:val="24"/>
          <w:szCs w:val="24"/>
          <w:vertAlign w:val="superscript"/>
        </w:rPr>
        <w:t>st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defendant.</w:t>
      </w:r>
    </w:p>
    <w:p w:rsidR="00E958F9" w:rsidRPr="000175A9" w:rsidRDefault="000C76AF" w:rsidP="000175A9">
      <w:pPr>
        <w:spacing w:before="209"/>
        <w:ind w:left="130" w:right="122" w:firstLine="4"/>
        <w:jc w:val="both"/>
        <w:rPr>
          <w:rFonts w:ascii="Arial" w:eastAsia="Times New Roman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standa</w:t>
      </w:r>
      <w:r w:rsidRPr="000175A9">
        <w:rPr>
          <w:rFonts w:ascii="Arial" w:hAnsi="Arial" w:cs="Arial"/>
          <w:sz w:val="24"/>
          <w:szCs w:val="24"/>
        </w:rPr>
        <w:t>rd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proof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these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civil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matters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balance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pro</w:t>
      </w:r>
      <w:r w:rsidRPr="000175A9">
        <w:rPr>
          <w:rFonts w:ascii="Arial" w:hAnsi="Arial" w:cs="Arial"/>
          <w:sz w:val="24"/>
          <w:szCs w:val="24"/>
        </w:rPr>
        <w:t>b</w:t>
      </w:r>
      <w:r w:rsidRPr="000175A9">
        <w:rPr>
          <w:rFonts w:ascii="Arial" w:hAnsi="Arial" w:cs="Arial"/>
          <w:sz w:val="24"/>
          <w:szCs w:val="24"/>
        </w:rPr>
        <w:t>abilities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 xml:space="preserve">as </w:t>
      </w:r>
      <w:r w:rsidRPr="000175A9">
        <w:rPr>
          <w:rFonts w:ascii="Arial" w:hAnsi="Arial" w:cs="Arial"/>
          <w:sz w:val="24"/>
          <w:szCs w:val="24"/>
        </w:rPr>
        <w:t>rig</w:t>
      </w:r>
      <w:r w:rsidRPr="000175A9">
        <w:rPr>
          <w:rFonts w:ascii="Arial" w:hAnsi="Arial" w:cs="Arial"/>
          <w:sz w:val="24"/>
          <w:szCs w:val="24"/>
        </w:rPr>
        <w:t>h</w:t>
      </w:r>
      <w:r w:rsidRPr="000175A9">
        <w:rPr>
          <w:rFonts w:ascii="Arial" w:hAnsi="Arial" w:cs="Arial"/>
          <w:sz w:val="24"/>
          <w:szCs w:val="24"/>
        </w:rPr>
        <w:t>tly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noted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plaintiffs.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And,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burden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proof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lies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asserts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affirmative,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</w:t>
      </w:r>
      <w:r w:rsidRPr="000175A9">
        <w:rPr>
          <w:rFonts w:ascii="Arial" w:hAnsi="Arial" w:cs="Arial"/>
          <w:sz w:val="24"/>
          <w:szCs w:val="24"/>
        </w:rPr>
        <w:t>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thi</w:t>
      </w:r>
      <w:r w:rsidRPr="000175A9">
        <w:rPr>
          <w:rFonts w:ascii="Arial" w:hAnsi="Arial" w:cs="Arial"/>
          <w:sz w:val="24"/>
          <w:szCs w:val="24"/>
        </w:rPr>
        <w:t>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case 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plaintiff.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See</w:t>
      </w:r>
      <w:r w:rsidRPr="000175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5A9">
        <w:rPr>
          <w:rFonts w:ascii="Arial" w:hAnsi="Arial" w:cs="Arial"/>
          <w:i/>
          <w:sz w:val="24"/>
          <w:szCs w:val="24"/>
        </w:rPr>
        <w:t>Nkuluzado</w:t>
      </w:r>
      <w:proofErr w:type="spellEnd"/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v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Malawi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H</w:t>
      </w:r>
      <w:r w:rsidRPr="000175A9">
        <w:rPr>
          <w:rFonts w:ascii="Arial" w:hAnsi="Arial" w:cs="Arial"/>
          <w:i/>
          <w:sz w:val="24"/>
          <w:szCs w:val="24"/>
        </w:rPr>
        <w:t>ousing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Corporat</w:t>
      </w:r>
      <w:r w:rsidRPr="000175A9">
        <w:rPr>
          <w:rFonts w:ascii="Arial" w:hAnsi="Arial" w:cs="Arial"/>
          <w:i/>
          <w:sz w:val="24"/>
          <w:szCs w:val="24"/>
        </w:rPr>
        <w:t>i</w:t>
      </w:r>
      <w:r w:rsidRPr="000175A9">
        <w:rPr>
          <w:rFonts w:ascii="Arial" w:hAnsi="Arial" w:cs="Arial"/>
          <w:i/>
          <w:sz w:val="24"/>
          <w:szCs w:val="24"/>
        </w:rPr>
        <w:t>on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[1999]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ML</w:t>
      </w:r>
      <w:r w:rsidRPr="000175A9">
        <w:rPr>
          <w:rFonts w:ascii="Arial" w:hAnsi="Arial" w:cs="Arial"/>
          <w:sz w:val="24"/>
          <w:szCs w:val="24"/>
        </w:rPr>
        <w:t>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302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Miller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v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Minister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of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Pensions</w:t>
      </w:r>
      <w:r w:rsid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[1947]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All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372.</w:t>
      </w:r>
    </w:p>
    <w:p w:rsidR="00E958F9" w:rsidRPr="000175A9" w:rsidRDefault="000C76AF" w:rsidP="000175A9">
      <w:pPr>
        <w:spacing w:before="197"/>
        <w:ind w:left="130" w:right="120" w:firstLine="9"/>
        <w:jc w:val="both"/>
        <w:rPr>
          <w:rFonts w:ascii="Arial" w:eastAsia="Times New Roman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plaintif</w:t>
      </w:r>
      <w:r w:rsidRPr="000175A9">
        <w:rPr>
          <w:rFonts w:ascii="Arial" w:hAnsi="Arial" w:cs="Arial"/>
          <w:sz w:val="24"/>
          <w:szCs w:val="24"/>
        </w:rPr>
        <w:t>f</w:t>
      </w:r>
      <w:r w:rsidRPr="000175A9">
        <w:rPr>
          <w:rFonts w:ascii="Arial" w:hAnsi="Arial" w:cs="Arial"/>
          <w:sz w:val="24"/>
          <w:szCs w:val="24"/>
        </w:rPr>
        <w:t>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rig</w:t>
      </w:r>
      <w:r w:rsidRPr="000175A9">
        <w:rPr>
          <w:rFonts w:ascii="Arial" w:hAnsi="Arial" w:cs="Arial"/>
          <w:sz w:val="24"/>
          <w:szCs w:val="24"/>
        </w:rPr>
        <w:t>htly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submitted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duties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mo</w:t>
      </w:r>
      <w:r w:rsidRPr="000175A9">
        <w:rPr>
          <w:rFonts w:ascii="Arial" w:hAnsi="Arial" w:cs="Arial"/>
          <w:sz w:val="24"/>
          <w:szCs w:val="24"/>
        </w:rPr>
        <w:t>tor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vehicle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road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which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</w:t>
      </w:r>
      <w:r w:rsidRPr="000175A9">
        <w:rPr>
          <w:rFonts w:ascii="Arial" w:hAnsi="Arial" w:cs="Arial"/>
          <w:sz w:val="24"/>
          <w:szCs w:val="24"/>
        </w:rPr>
        <w:t>re</w:t>
      </w:r>
      <w:r w:rsidRPr="000175A9">
        <w:rPr>
          <w:rFonts w:ascii="Arial" w:hAnsi="Arial" w:cs="Arial"/>
          <w:sz w:val="24"/>
          <w:szCs w:val="24"/>
        </w:rPr>
        <w:t>ached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results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being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held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liable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fo</w:t>
      </w:r>
      <w:r w:rsidRPr="000175A9">
        <w:rPr>
          <w:rFonts w:ascii="Arial" w:hAnsi="Arial" w:cs="Arial"/>
          <w:sz w:val="24"/>
          <w:szCs w:val="24"/>
        </w:rPr>
        <w:t>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negligence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resultant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>mage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caused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such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negligence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those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other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road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users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whom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owed 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</w:t>
      </w:r>
      <w:r w:rsidRPr="000175A9">
        <w:rPr>
          <w:rFonts w:ascii="Arial" w:hAnsi="Arial" w:cs="Arial"/>
          <w:sz w:val="24"/>
          <w:szCs w:val="24"/>
        </w:rPr>
        <w:t>aid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duties.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See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Banda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and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others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v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ADMARC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a</w:t>
      </w:r>
      <w:r w:rsidRPr="000175A9">
        <w:rPr>
          <w:rFonts w:ascii="Arial" w:hAnsi="Arial" w:cs="Arial"/>
          <w:i/>
          <w:sz w:val="24"/>
          <w:szCs w:val="24"/>
        </w:rPr>
        <w:t>nd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another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13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MLR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59,</w:t>
      </w:r>
      <w:r w:rsidRPr="000175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5A9">
        <w:rPr>
          <w:rFonts w:ascii="Arial" w:hAnsi="Arial" w:cs="Arial"/>
          <w:i/>
          <w:sz w:val="24"/>
          <w:szCs w:val="24"/>
        </w:rPr>
        <w:t>Chuma</w:t>
      </w:r>
      <w:proofErr w:type="spellEnd"/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and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a</w:t>
      </w:r>
      <w:r w:rsidRPr="000175A9">
        <w:rPr>
          <w:rFonts w:ascii="Arial" w:hAnsi="Arial" w:cs="Arial"/>
          <w:i/>
          <w:sz w:val="24"/>
          <w:szCs w:val="24"/>
        </w:rPr>
        <w:t>nother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v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India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and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others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[1995]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MLR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97,</w:t>
      </w:r>
      <w:r w:rsidRPr="000175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5A9">
        <w:rPr>
          <w:rFonts w:ascii="Arial" w:hAnsi="Arial" w:cs="Arial"/>
          <w:i/>
          <w:sz w:val="24"/>
          <w:szCs w:val="24"/>
        </w:rPr>
        <w:t>So</w:t>
      </w:r>
      <w:r w:rsidRPr="000175A9">
        <w:rPr>
          <w:rFonts w:ascii="Arial" w:hAnsi="Arial" w:cs="Arial"/>
          <w:i/>
          <w:sz w:val="24"/>
          <w:szCs w:val="24"/>
        </w:rPr>
        <w:t>mani</w:t>
      </w:r>
      <w:proofErr w:type="spellEnd"/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and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175A9">
        <w:rPr>
          <w:rFonts w:ascii="Arial" w:hAnsi="Arial" w:cs="Arial"/>
          <w:i/>
          <w:sz w:val="24"/>
          <w:szCs w:val="24"/>
        </w:rPr>
        <w:t>Mulaga</w:t>
      </w:r>
      <w:proofErr w:type="spellEnd"/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v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175A9">
        <w:rPr>
          <w:rFonts w:ascii="Arial" w:hAnsi="Arial" w:cs="Arial"/>
          <w:i/>
          <w:sz w:val="24"/>
          <w:szCs w:val="24"/>
        </w:rPr>
        <w:t>Ngwira</w:t>
      </w:r>
      <w:proofErr w:type="spellEnd"/>
      <w:r w:rsid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10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MLR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196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Sagawa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v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United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Transport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(M</w:t>
      </w:r>
      <w:r w:rsidRPr="000175A9">
        <w:rPr>
          <w:rFonts w:ascii="Arial" w:hAnsi="Arial" w:cs="Arial"/>
          <w:i/>
          <w:sz w:val="24"/>
          <w:szCs w:val="24"/>
        </w:rPr>
        <w:t>w</w:t>
      </w:r>
      <w:r w:rsidRPr="000175A9">
        <w:rPr>
          <w:rFonts w:ascii="Arial" w:hAnsi="Arial" w:cs="Arial"/>
          <w:i/>
          <w:sz w:val="24"/>
          <w:szCs w:val="24"/>
        </w:rPr>
        <w:t>)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Li</w:t>
      </w:r>
      <w:r w:rsidRPr="000175A9">
        <w:rPr>
          <w:rFonts w:ascii="Arial" w:hAnsi="Arial" w:cs="Arial"/>
          <w:i/>
          <w:sz w:val="24"/>
          <w:szCs w:val="24"/>
        </w:rPr>
        <w:t>m</w:t>
      </w:r>
      <w:r w:rsidRPr="000175A9">
        <w:rPr>
          <w:rFonts w:ascii="Arial" w:hAnsi="Arial" w:cs="Arial"/>
          <w:i/>
          <w:sz w:val="24"/>
          <w:szCs w:val="24"/>
        </w:rPr>
        <w:t>ited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10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MLR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303.</w:t>
      </w:r>
    </w:p>
    <w:p w:rsidR="00E958F9" w:rsidRPr="000175A9" w:rsidRDefault="000C76AF" w:rsidP="000175A9">
      <w:pPr>
        <w:spacing w:before="187"/>
        <w:ind w:left="134" w:right="131" w:firstLine="4"/>
        <w:jc w:val="both"/>
        <w:rPr>
          <w:rFonts w:ascii="Arial" w:eastAsia="Times New Roman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case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</w:t>
      </w:r>
      <w:r w:rsidRPr="000175A9">
        <w:rPr>
          <w:rFonts w:ascii="Arial" w:hAnsi="Arial" w:cs="Arial"/>
          <w:sz w:val="24"/>
          <w:szCs w:val="24"/>
        </w:rPr>
        <w:t>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Ba</w:t>
      </w:r>
      <w:r w:rsidRPr="000175A9">
        <w:rPr>
          <w:rFonts w:ascii="Arial" w:hAnsi="Arial" w:cs="Arial"/>
          <w:i/>
          <w:sz w:val="24"/>
          <w:szCs w:val="24"/>
        </w:rPr>
        <w:t>nda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and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others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v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AD</w:t>
      </w:r>
      <w:r w:rsidRPr="000175A9">
        <w:rPr>
          <w:rFonts w:ascii="Arial" w:hAnsi="Arial" w:cs="Arial"/>
          <w:i/>
          <w:sz w:val="24"/>
          <w:szCs w:val="24"/>
        </w:rPr>
        <w:t>MARC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and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i/>
          <w:sz w:val="24"/>
          <w:szCs w:val="24"/>
        </w:rPr>
        <w:t>another</w:t>
      </w:r>
      <w:r w:rsidRPr="000175A9">
        <w:rPr>
          <w:rFonts w:ascii="Arial" w:hAnsi="Arial" w:cs="Arial"/>
          <w:i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Banda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</w:t>
      </w:r>
      <w:r w:rsidRPr="000175A9">
        <w:rPr>
          <w:rFonts w:ascii="Arial" w:hAnsi="Arial" w:cs="Arial"/>
          <w:sz w:val="24"/>
          <w:szCs w:val="24"/>
        </w:rPr>
        <w:t>J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stated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succinctly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driver's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>uty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care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other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road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users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follows</w:t>
      </w:r>
    </w:p>
    <w:p w:rsidR="00E958F9" w:rsidRPr="000175A9" w:rsidRDefault="000C76AF" w:rsidP="000175A9">
      <w:pPr>
        <w:spacing w:before="192"/>
        <w:ind w:left="856" w:right="120"/>
        <w:jc w:val="both"/>
        <w:rPr>
          <w:rFonts w:ascii="Arial" w:eastAsia="Times New Roman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motor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vehicle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owes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duty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care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other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road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users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not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cause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damag</w:t>
      </w:r>
      <w:r w:rsidRPr="000175A9">
        <w:rPr>
          <w:rFonts w:ascii="Arial" w:hAnsi="Arial" w:cs="Arial"/>
          <w:sz w:val="24"/>
          <w:szCs w:val="24"/>
        </w:rPr>
        <w:t>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persons,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vehi</w:t>
      </w:r>
      <w:r w:rsidRPr="000175A9">
        <w:rPr>
          <w:rFonts w:ascii="Arial" w:hAnsi="Arial" w:cs="Arial"/>
          <w:sz w:val="24"/>
          <w:szCs w:val="24"/>
        </w:rPr>
        <w:t>cles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propert</w:t>
      </w:r>
      <w:r w:rsidRPr="000175A9">
        <w:rPr>
          <w:rFonts w:ascii="Arial" w:hAnsi="Arial" w:cs="Arial"/>
          <w:sz w:val="24"/>
          <w:szCs w:val="24"/>
        </w:rPr>
        <w:t>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anyone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adjoining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road.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must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use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reasonable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care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which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>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ordinary</w:t>
      </w:r>
      <w:r w:rsidRPr="000175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5A9">
        <w:rPr>
          <w:rFonts w:ascii="Arial" w:hAnsi="Arial" w:cs="Arial"/>
          <w:sz w:val="24"/>
          <w:szCs w:val="24"/>
        </w:rPr>
        <w:t>skilful</w:t>
      </w:r>
      <w:proofErr w:type="spellEnd"/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would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have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exercised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under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all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circumstances</w:t>
      </w:r>
      <w:r w:rsidRPr="000175A9">
        <w:rPr>
          <w:rFonts w:ascii="Arial" w:hAnsi="Arial" w:cs="Arial"/>
          <w:sz w:val="24"/>
          <w:szCs w:val="24"/>
        </w:rPr>
        <w:t>.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reasonably</w:t>
      </w:r>
      <w:r w:rsidRPr="000175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5A9">
        <w:rPr>
          <w:rFonts w:ascii="Arial" w:hAnsi="Arial" w:cs="Arial"/>
          <w:sz w:val="24"/>
          <w:szCs w:val="24"/>
        </w:rPr>
        <w:t>sk</w:t>
      </w:r>
      <w:r w:rsidRPr="000175A9">
        <w:rPr>
          <w:rFonts w:ascii="Arial" w:hAnsi="Arial" w:cs="Arial"/>
          <w:sz w:val="24"/>
          <w:szCs w:val="24"/>
        </w:rPr>
        <w:t>ilful</w:t>
      </w:r>
      <w:proofErr w:type="spellEnd"/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has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</w:t>
      </w:r>
      <w:r w:rsidRPr="000175A9">
        <w:rPr>
          <w:rFonts w:ascii="Arial" w:hAnsi="Arial" w:cs="Arial"/>
          <w:sz w:val="24"/>
          <w:szCs w:val="24"/>
        </w:rPr>
        <w:t>e</w:t>
      </w:r>
      <w:r w:rsidRPr="000175A9">
        <w:rPr>
          <w:rFonts w:ascii="Arial" w:hAnsi="Arial" w:cs="Arial"/>
          <w:sz w:val="24"/>
          <w:szCs w:val="24"/>
        </w:rPr>
        <w:t>en</w:t>
      </w:r>
      <w:r w:rsidRPr="000175A9">
        <w:rPr>
          <w:rFonts w:ascii="Arial" w:hAnsi="Arial" w:cs="Arial"/>
          <w:sz w:val="24"/>
          <w:szCs w:val="24"/>
        </w:rPr>
        <w:t xml:space="preserve"> defined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one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avoids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e</w:t>
      </w:r>
      <w:r w:rsidRPr="000175A9">
        <w:rPr>
          <w:rFonts w:ascii="Arial" w:hAnsi="Arial" w:cs="Arial"/>
          <w:sz w:val="24"/>
          <w:szCs w:val="24"/>
        </w:rPr>
        <w:t>x</w:t>
      </w:r>
      <w:r w:rsidRPr="000175A9">
        <w:rPr>
          <w:rFonts w:ascii="Arial" w:hAnsi="Arial" w:cs="Arial"/>
          <w:sz w:val="24"/>
          <w:szCs w:val="24"/>
        </w:rPr>
        <w:t>cessi</w:t>
      </w:r>
      <w:r w:rsidRPr="000175A9">
        <w:rPr>
          <w:rFonts w:ascii="Arial" w:hAnsi="Arial" w:cs="Arial"/>
          <w:sz w:val="24"/>
          <w:szCs w:val="24"/>
        </w:rPr>
        <w:t>ve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speed,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keeps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good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look-o</w:t>
      </w:r>
      <w:r w:rsidRPr="000175A9">
        <w:rPr>
          <w:rFonts w:ascii="Arial" w:hAnsi="Arial" w:cs="Arial"/>
          <w:sz w:val="24"/>
          <w:szCs w:val="24"/>
        </w:rPr>
        <w:t>u</w:t>
      </w:r>
      <w:r w:rsidRPr="000175A9">
        <w:rPr>
          <w:rFonts w:ascii="Arial" w:hAnsi="Arial" w:cs="Arial"/>
          <w:sz w:val="24"/>
          <w:szCs w:val="24"/>
        </w:rPr>
        <w:t>t,</w:t>
      </w:r>
      <w:r w:rsidRPr="000175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75A9">
        <w:rPr>
          <w:rFonts w:ascii="Arial" w:hAnsi="Arial" w:cs="Arial"/>
          <w:sz w:val="24"/>
          <w:szCs w:val="24"/>
        </w:rPr>
        <w:t>ob</w:t>
      </w:r>
      <w:r w:rsidRPr="000175A9">
        <w:rPr>
          <w:rFonts w:ascii="Arial" w:hAnsi="Arial" w:cs="Arial"/>
          <w:sz w:val="24"/>
          <w:szCs w:val="24"/>
        </w:rPr>
        <w:t>serves</w:t>
      </w:r>
      <w:proofErr w:type="gramEnd"/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traffic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signs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signals</w:t>
      </w:r>
      <w:r w:rsidRPr="000175A9">
        <w:rPr>
          <w:rFonts w:ascii="Arial" w:hAnsi="Arial" w:cs="Arial"/>
          <w:sz w:val="24"/>
          <w:szCs w:val="24"/>
        </w:rPr>
        <w:t>.</w:t>
      </w:r>
    </w:p>
    <w:p w:rsidR="00E958F9" w:rsidRPr="000175A9" w:rsidRDefault="00E958F9" w:rsidP="000175A9">
      <w:pPr>
        <w:jc w:val="both"/>
        <w:rPr>
          <w:rFonts w:ascii="Arial" w:eastAsia="Times New Roman" w:hAnsi="Arial" w:cs="Arial"/>
          <w:sz w:val="24"/>
          <w:szCs w:val="24"/>
        </w:rPr>
        <w:sectPr w:rsidR="00E958F9" w:rsidRPr="000175A9">
          <w:pgSz w:w="12240" w:h="16960"/>
          <w:pgMar w:top="1620" w:right="1180" w:bottom="1500" w:left="1480" w:header="0" w:footer="2317" w:gutter="0"/>
          <w:cols w:space="720"/>
        </w:sectPr>
      </w:pPr>
    </w:p>
    <w:p w:rsidR="00E958F9" w:rsidRPr="000175A9" w:rsidRDefault="000C76AF" w:rsidP="000175A9">
      <w:pPr>
        <w:pStyle w:val="BodyText"/>
        <w:spacing w:before="43"/>
        <w:ind w:left="106" w:right="186" w:hanging="5"/>
        <w:jc w:val="both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lastRenderedPageBreak/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>nts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denied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allegation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negligence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stated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plaintiffs</w:t>
      </w:r>
      <w:r w:rsidRPr="000175A9">
        <w:rPr>
          <w:rFonts w:ascii="Arial" w:hAnsi="Arial" w:cs="Arial"/>
          <w:sz w:val="24"/>
          <w:szCs w:val="24"/>
        </w:rPr>
        <w:t>'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evidence.</w:t>
      </w:r>
    </w:p>
    <w:p w:rsidR="00E958F9" w:rsidRPr="000175A9" w:rsidRDefault="000C76AF" w:rsidP="000175A9">
      <w:pPr>
        <w:pStyle w:val="BodyText"/>
        <w:spacing w:before="222"/>
        <w:ind w:left="101" w:right="145" w:firstLine="4"/>
        <w:jc w:val="both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impre</w:t>
      </w:r>
      <w:r w:rsidRPr="000175A9">
        <w:rPr>
          <w:rFonts w:ascii="Arial" w:hAnsi="Arial" w:cs="Arial"/>
          <w:sz w:val="24"/>
          <w:szCs w:val="24"/>
        </w:rPr>
        <w:t>ssio</w:t>
      </w:r>
      <w:r w:rsidRPr="000175A9">
        <w:rPr>
          <w:rFonts w:ascii="Arial" w:hAnsi="Arial" w:cs="Arial"/>
          <w:sz w:val="24"/>
          <w:szCs w:val="24"/>
        </w:rPr>
        <w:t>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that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Court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got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from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evidence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that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</w:t>
      </w:r>
      <w:r w:rsidRPr="000175A9">
        <w:rPr>
          <w:rFonts w:ascii="Arial" w:hAnsi="Arial" w:cs="Arial"/>
          <w:sz w:val="24"/>
          <w:szCs w:val="24"/>
        </w:rPr>
        <w:t>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</w:t>
      </w:r>
      <w:r w:rsidRPr="000175A9">
        <w:rPr>
          <w:rFonts w:ascii="Arial" w:hAnsi="Arial" w:cs="Arial"/>
          <w:sz w:val="24"/>
          <w:szCs w:val="24"/>
        </w:rPr>
        <w:t>us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which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</w:t>
      </w:r>
      <w:r w:rsidRPr="000175A9">
        <w:rPr>
          <w:rFonts w:ascii="Arial" w:hAnsi="Arial" w:cs="Arial"/>
          <w:sz w:val="24"/>
          <w:szCs w:val="24"/>
        </w:rPr>
        <w:t>l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>intiffs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were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travelling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herein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was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indeed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lawfully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</w:t>
      </w:r>
      <w:r w:rsidRPr="000175A9">
        <w:rPr>
          <w:rFonts w:ascii="Arial" w:hAnsi="Arial" w:cs="Arial"/>
          <w:sz w:val="24"/>
          <w:szCs w:val="24"/>
        </w:rPr>
        <w:t>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road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question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going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opposite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direction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truck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driven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1</w:t>
      </w:r>
      <w:r w:rsidRPr="000175A9">
        <w:rPr>
          <w:rFonts w:ascii="Arial" w:hAnsi="Arial" w:cs="Arial"/>
          <w:sz w:val="24"/>
          <w:szCs w:val="24"/>
        </w:rPr>
        <w:t>st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defendant.</w:t>
      </w:r>
    </w:p>
    <w:p w:rsidR="000175A9" w:rsidRDefault="000C76AF" w:rsidP="000175A9">
      <w:pPr>
        <w:pStyle w:val="BodyText"/>
        <w:spacing w:before="203"/>
        <w:ind w:left="106" w:right="134"/>
        <w:jc w:val="both"/>
        <w:rPr>
          <w:rFonts w:ascii="Arial" w:hAnsi="Arial" w:cs="Arial"/>
          <w:sz w:val="24"/>
          <w:szCs w:val="24"/>
        </w:rPr>
        <w:sectPr w:rsidR="000175A9">
          <w:footerReference w:type="even" r:id="rId12"/>
          <w:footerReference w:type="default" r:id="rId13"/>
          <w:pgSz w:w="12220" w:h="16980"/>
          <w:pgMar w:top="1380" w:right="1340" w:bottom="2500" w:left="1180" w:header="0" w:footer="2317" w:gutter="0"/>
          <w:cols w:space="720"/>
        </w:sectPr>
      </w:pP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1</w:t>
      </w:r>
      <w:r w:rsidRPr="000175A9">
        <w:rPr>
          <w:rFonts w:ascii="Arial" w:hAnsi="Arial" w:cs="Arial"/>
          <w:sz w:val="24"/>
          <w:szCs w:val="24"/>
          <w:vertAlign w:val="superscript"/>
        </w:rPr>
        <w:t>st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>nt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decided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overtake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vehicle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front</w:t>
      </w:r>
      <w:r w:rsidRPr="000175A9">
        <w:rPr>
          <w:rFonts w:ascii="Arial" w:hAnsi="Arial" w:cs="Arial"/>
          <w:sz w:val="24"/>
          <w:szCs w:val="24"/>
        </w:rPr>
        <w:t>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</w:t>
      </w:r>
      <w:r w:rsidRPr="000175A9">
        <w:rPr>
          <w:rFonts w:ascii="Arial" w:hAnsi="Arial" w:cs="Arial"/>
          <w:sz w:val="24"/>
          <w:szCs w:val="24"/>
        </w:rPr>
        <w:t>itho</w:t>
      </w:r>
      <w:r w:rsidRPr="000175A9">
        <w:rPr>
          <w:rFonts w:ascii="Arial" w:hAnsi="Arial" w:cs="Arial"/>
          <w:sz w:val="24"/>
          <w:szCs w:val="24"/>
        </w:rPr>
        <w:t>ut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due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regard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safety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plaintiffs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were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travelling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vehicle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</w:t>
      </w:r>
      <w:r w:rsidRPr="000175A9">
        <w:rPr>
          <w:rFonts w:ascii="Arial" w:hAnsi="Arial" w:cs="Arial"/>
          <w:sz w:val="24"/>
          <w:szCs w:val="24"/>
        </w:rPr>
        <w:t>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opposite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>i</w:t>
      </w:r>
      <w:r w:rsidRPr="000175A9">
        <w:rPr>
          <w:rFonts w:ascii="Arial" w:hAnsi="Arial" w:cs="Arial"/>
          <w:sz w:val="24"/>
          <w:szCs w:val="24"/>
        </w:rPr>
        <w:t>rection.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</w:p>
    <w:p w:rsidR="00E958F9" w:rsidRPr="000175A9" w:rsidRDefault="000C76AF" w:rsidP="000175A9">
      <w:pPr>
        <w:pStyle w:val="BodyText"/>
        <w:spacing w:before="203"/>
        <w:ind w:left="106" w:right="134"/>
        <w:jc w:val="both"/>
        <w:rPr>
          <w:rFonts w:ascii="Arial" w:hAnsi="Arial" w:cs="Arial"/>
          <w:sz w:val="24"/>
          <w:szCs w:val="24"/>
        </w:rPr>
      </w:pPr>
      <w:proofErr w:type="gramStart"/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h</w:t>
      </w:r>
      <w:r w:rsidRPr="000175A9">
        <w:rPr>
          <w:rFonts w:ascii="Arial" w:hAnsi="Arial" w:cs="Arial"/>
          <w:sz w:val="24"/>
          <w:szCs w:val="24"/>
        </w:rPr>
        <w:t>e</w:t>
      </w:r>
      <w:proofErr w:type="gramEnd"/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e</w:t>
      </w:r>
      <w:r w:rsidRPr="000175A9">
        <w:rPr>
          <w:rFonts w:ascii="Arial" w:hAnsi="Arial" w:cs="Arial"/>
          <w:sz w:val="24"/>
          <w:szCs w:val="24"/>
        </w:rPr>
        <w:t>nd,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1</w:t>
      </w:r>
      <w:r w:rsidRPr="000175A9">
        <w:rPr>
          <w:rFonts w:ascii="Arial" w:hAnsi="Arial" w:cs="Arial"/>
          <w:sz w:val="24"/>
          <w:szCs w:val="24"/>
          <w:vertAlign w:val="superscript"/>
        </w:rPr>
        <w:t>st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defendant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created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scenario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which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was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inevitable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that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bus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</w:t>
      </w:r>
      <w:r w:rsidRPr="000175A9">
        <w:rPr>
          <w:rFonts w:ascii="Arial" w:hAnsi="Arial" w:cs="Arial"/>
          <w:sz w:val="24"/>
          <w:szCs w:val="24"/>
        </w:rPr>
        <w:t>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</w:t>
      </w:r>
      <w:r w:rsidRPr="000175A9">
        <w:rPr>
          <w:rFonts w:ascii="Arial" w:hAnsi="Arial" w:cs="Arial"/>
          <w:sz w:val="24"/>
          <w:szCs w:val="24"/>
        </w:rPr>
        <w:t>hich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</w:t>
      </w:r>
      <w:r w:rsidRPr="000175A9">
        <w:rPr>
          <w:rFonts w:ascii="Arial" w:hAnsi="Arial" w:cs="Arial"/>
          <w:sz w:val="24"/>
          <w:szCs w:val="24"/>
        </w:rPr>
        <w:t>ff</w:t>
      </w:r>
      <w:r w:rsidRPr="000175A9">
        <w:rPr>
          <w:rFonts w:ascii="Arial" w:hAnsi="Arial" w:cs="Arial"/>
          <w:sz w:val="24"/>
          <w:szCs w:val="24"/>
        </w:rPr>
        <w:t>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were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travelling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collided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with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part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</w:t>
      </w:r>
      <w:r w:rsidRPr="000175A9">
        <w:rPr>
          <w:rFonts w:ascii="Arial" w:hAnsi="Arial" w:cs="Arial"/>
          <w:sz w:val="24"/>
          <w:szCs w:val="24"/>
        </w:rPr>
        <w:t>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trailer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truck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>e</w:t>
      </w:r>
      <w:r w:rsidRPr="000175A9">
        <w:rPr>
          <w:rFonts w:ascii="Arial" w:hAnsi="Arial" w:cs="Arial"/>
          <w:sz w:val="24"/>
          <w:szCs w:val="24"/>
        </w:rPr>
        <w:t>fe</w:t>
      </w:r>
      <w:r w:rsidRPr="000175A9">
        <w:rPr>
          <w:rFonts w:ascii="Arial" w:hAnsi="Arial" w:cs="Arial"/>
          <w:sz w:val="24"/>
          <w:szCs w:val="24"/>
        </w:rPr>
        <w:t>ndant's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insured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was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driving.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collision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resu</w:t>
      </w:r>
      <w:r w:rsidRPr="000175A9">
        <w:rPr>
          <w:rFonts w:ascii="Arial" w:hAnsi="Arial" w:cs="Arial"/>
          <w:sz w:val="24"/>
          <w:szCs w:val="24"/>
        </w:rPr>
        <w:t>lted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various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injuries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</w:t>
      </w:r>
      <w:r w:rsidRPr="000175A9">
        <w:rPr>
          <w:rFonts w:ascii="Arial" w:hAnsi="Arial" w:cs="Arial"/>
          <w:sz w:val="24"/>
          <w:szCs w:val="24"/>
        </w:rPr>
        <w:t>l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>i</w:t>
      </w:r>
      <w:r w:rsidRPr="000175A9">
        <w:rPr>
          <w:rFonts w:ascii="Arial" w:hAnsi="Arial" w:cs="Arial"/>
          <w:sz w:val="24"/>
          <w:szCs w:val="24"/>
        </w:rPr>
        <w:t>ntiffs.</w:t>
      </w:r>
    </w:p>
    <w:p w:rsidR="00E958F9" w:rsidRPr="000175A9" w:rsidRDefault="000C76AF" w:rsidP="000175A9">
      <w:pPr>
        <w:pStyle w:val="BodyText"/>
        <w:spacing w:before="197"/>
        <w:ind w:left="111" w:right="142"/>
        <w:jc w:val="both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forego</w:t>
      </w:r>
      <w:r w:rsidRPr="000175A9">
        <w:rPr>
          <w:rFonts w:ascii="Arial" w:hAnsi="Arial" w:cs="Arial"/>
          <w:sz w:val="24"/>
          <w:szCs w:val="24"/>
        </w:rPr>
        <w:t>i</w:t>
      </w:r>
      <w:r w:rsidRPr="000175A9">
        <w:rPr>
          <w:rFonts w:ascii="Arial" w:hAnsi="Arial" w:cs="Arial"/>
          <w:sz w:val="24"/>
          <w:szCs w:val="24"/>
        </w:rPr>
        <w:t>n</w:t>
      </w:r>
      <w:r w:rsidRPr="000175A9">
        <w:rPr>
          <w:rFonts w:ascii="Arial" w:hAnsi="Arial" w:cs="Arial"/>
          <w:sz w:val="24"/>
          <w:szCs w:val="24"/>
        </w:rPr>
        <w:t>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circumstances,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1</w:t>
      </w:r>
      <w:r w:rsidRPr="000175A9">
        <w:rPr>
          <w:rFonts w:ascii="Arial" w:hAnsi="Arial" w:cs="Arial"/>
          <w:sz w:val="24"/>
          <w:szCs w:val="24"/>
          <w:vertAlign w:val="superscript"/>
        </w:rPr>
        <w:t>st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defendant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breached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>u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care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plaintiffs,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fellow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road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users,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failing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have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proper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look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out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</w:t>
      </w:r>
      <w:r w:rsidRPr="000175A9">
        <w:rPr>
          <w:rFonts w:ascii="Arial" w:hAnsi="Arial" w:cs="Arial"/>
          <w:sz w:val="24"/>
          <w:szCs w:val="24"/>
        </w:rPr>
        <w:t>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road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when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overtaking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roa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>.</w:t>
      </w:r>
    </w:p>
    <w:p w:rsidR="00E958F9" w:rsidRPr="000175A9" w:rsidRDefault="000C76AF" w:rsidP="000175A9">
      <w:pPr>
        <w:pStyle w:val="BodyText"/>
        <w:spacing w:before="196"/>
        <w:ind w:left="115" w:right="138"/>
        <w:jc w:val="both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="000175A9">
        <w:rPr>
          <w:rFonts w:ascii="Arial" w:hAnsi="Arial" w:cs="Arial"/>
          <w:sz w:val="24"/>
          <w:szCs w:val="24"/>
        </w:rPr>
        <w:t>1</w:t>
      </w:r>
      <w:r w:rsidR="000175A9" w:rsidRPr="000175A9">
        <w:rPr>
          <w:rFonts w:ascii="Arial" w:hAnsi="Arial" w:cs="Arial"/>
          <w:sz w:val="24"/>
          <w:szCs w:val="24"/>
          <w:vertAlign w:val="superscript"/>
        </w:rPr>
        <w:t>st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defend</w:t>
      </w:r>
      <w:r w:rsidRPr="000175A9">
        <w:rPr>
          <w:rFonts w:ascii="Arial" w:hAnsi="Arial" w:cs="Arial"/>
          <w:sz w:val="24"/>
          <w:szCs w:val="24"/>
        </w:rPr>
        <w:t>an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also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failed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comply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with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section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98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(2)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(c)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</w:t>
      </w:r>
      <w:r w:rsidRPr="000175A9">
        <w:rPr>
          <w:rFonts w:ascii="Arial" w:hAnsi="Arial" w:cs="Arial"/>
          <w:sz w:val="24"/>
          <w:szCs w:val="24"/>
        </w:rPr>
        <w:t>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Road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Traffic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Act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which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pro</w:t>
      </w:r>
      <w:r w:rsidRPr="000175A9">
        <w:rPr>
          <w:rFonts w:ascii="Arial" w:hAnsi="Arial" w:cs="Arial"/>
          <w:sz w:val="24"/>
          <w:szCs w:val="24"/>
        </w:rPr>
        <w:t>h</w:t>
      </w:r>
      <w:r w:rsidRPr="000175A9">
        <w:rPr>
          <w:rFonts w:ascii="Arial" w:hAnsi="Arial" w:cs="Arial"/>
          <w:sz w:val="24"/>
          <w:szCs w:val="24"/>
        </w:rPr>
        <w:t>ibits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passing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other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vehicles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follows</w:t>
      </w:r>
    </w:p>
    <w:p w:rsidR="00E958F9" w:rsidRPr="000175A9" w:rsidRDefault="000C76AF" w:rsidP="000175A9">
      <w:pPr>
        <w:spacing w:before="193"/>
        <w:ind w:left="840" w:right="125"/>
        <w:jc w:val="both"/>
        <w:rPr>
          <w:rFonts w:ascii="Arial" w:eastAsia="Times New Roman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>ri</w:t>
      </w:r>
      <w:r w:rsidRPr="000175A9">
        <w:rPr>
          <w:rFonts w:ascii="Arial" w:hAnsi="Arial" w:cs="Arial"/>
          <w:sz w:val="24"/>
          <w:szCs w:val="24"/>
        </w:rPr>
        <w:t>ver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vehicle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shall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not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pass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other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traffic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proceeding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same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direction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public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roa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</w:t>
      </w:r>
      <w:r w:rsidRPr="000175A9">
        <w:rPr>
          <w:rFonts w:ascii="Arial" w:hAnsi="Arial" w:cs="Arial"/>
          <w:sz w:val="24"/>
          <w:szCs w:val="24"/>
        </w:rPr>
        <w:t>hen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approaching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>ny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other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place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where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view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</w:t>
      </w:r>
      <w:r w:rsidRPr="000175A9">
        <w:rPr>
          <w:rFonts w:ascii="Arial" w:hAnsi="Arial" w:cs="Arial"/>
          <w:sz w:val="24"/>
          <w:szCs w:val="24"/>
        </w:rPr>
        <w:t>estricted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that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such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passing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</w:t>
      </w:r>
      <w:r w:rsidRPr="000175A9">
        <w:rPr>
          <w:rFonts w:ascii="Arial" w:hAnsi="Arial" w:cs="Arial"/>
          <w:sz w:val="24"/>
          <w:szCs w:val="24"/>
        </w:rPr>
        <w:t>ul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create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haz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>rd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relation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other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traffic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which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mi</w:t>
      </w:r>
      <w:r w:rsidRPr="000175A9">
        <w:rPr>
          <w:rFonts w:ascii="Arial" w:hAnsi="Arial" w:cs="Arial"/>
          <w:sz w:val="24"/>
          <w:szCs w:val="24"/>
        </w:rPr>
        <w:t>g</w:t>
      </w:r>
      <w:r w:rsidRPr="000175A9">
        <w:rPr>
          <w:rFonts w:ascii="Arial" w:hAnsi="Arial" w:cs="Arial"/>
          <w:sz w:val="24"/>
          <w:szCs w:val="24"/>
        </w:rPr>
        <w:t>h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approach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from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opposi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>i</w:t>
      </w:r>
      <w:r w:rsidRPr="000175A9">
        <w:rPr>
          <w:rFonts w:ascii="Arial" w:hAnsi="Arial" w:cs="Arial"/>
          <w:sz w:val="24"/>
          <w:szCs w:val="24"/>
        </w:rPr>
        <w:t>r</w:t>
      </w:r>
      <w:r w:rsidRPr="000175A9">
        <w:rPr>
          <w:rFonts w:ascii="Arial" w:hAnsi="Arial" w:cs="Arial"/>
          <w:sz w:val="24"/>
          <w:szCs w:val="24"/>
        </w:rPr>
        <w:t>ection</w:t>
      </w:r>
      <w:r w:rsidRPr="000175A9">
        <w:rPr>
          <w:rFonts w:ascii="Arial" w:hAnsi="Arial" w:cs="Arial"/>
          <w:sz w:val="24"/>
          <w:szCs w:val="24"/>
        </w:rPr>
        <w:t>,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unless-</w:t>
      </w:r>
    </w:p>
    <w:p w:rsidR="00E958F9" w:rsidRPr="000175A9" w:rsidRDefault="00E958F9" w:rsidP="000175A9">
      <w:pPr>
        <w:rPr>
          <w:rFonts w:ascii="Arial" w:eastAsia="Times New Roman" w:hAnsi="Arial" w:cs="Arial"/>
          <w:sz w:val="24"/>
          <w:szCs w:val="24"/>
        </w:rPr>
      </w:pPr>
    </w:p>
    <w:p w:rsidR="000175A9" w:rsidRPr="000175A9" w:rsidRDefault="000175A9" w:rsidP="000175A9">
      <w:pPr>
        <w:spacing w:before="134"/>
        <w:ind w:left="845"/>
        <w:rPr>
          <w:rFonts w:ascii="Arial" w:eastAsia="Times New Roman" w:hAnsi="Arial" w:cs="Arial"/>
          <w:sz w:val="24"/>
          <w:szCs w:val="24"/>
        </w:rPr>
      </w:pPr>
      <w:r w:rsidRPr="000175A9">
        <w:rPr>
          <w:rFonts w:ascii="Arial" w:eastAsia="Times New Roman" w:hAnsi="Arial" w:cs="Arial"/>
          <w:w w:val="102"/>
          <w:sz w:val="24"/>
          <w:szCs w:val="24"/>
        </w:rPr>
        <w:t>(</w:t>
      </w:r>
      <w:proofErr w:type="spellStart"/>
      <w:r w:rsidRPr="000175A9">
        <w:rPr>
          <w:rFonts w:ascii="Arial" w:eastAsia="Times New Roman" w:hAnsi="Arial" w:cs="Arial"/>
          <w:w w:val="102"/>
          <w:sz w:val="24"/>
          <w:szCs w:val="24"/>
        </w:rPr>
        <w:t>i</w:t>
      </w:r>
      <w:proofErr w:type="spellEnd"/>
      <w:r w:rsidRPr="000175A9">
        <w:rPr>
          <w:rFonts w:ascii="Arial" w:eastAsia="Times New Roman" w:hAnsi="Arial" w:cs="Arial"/>
          <w:w w:val="102"/>
          <w:sz w:val="24"/>
          <w:szCs w:val="24"/>
        </w:rPr>
        <w:t>)</w:t>
      </w:r>
      <w:r>
        <w:rPr>
          <w:rFonts w:ascii="Arial" w:eastAsia="Times New Roman" w:hAnsi="Arial" w:cs="Arial"/>
          <w:w w:val="102"/>
          <w:sz w:val="24"/>
          <w:szCs w:val="24"/>
        </w:rPr>
        <w:t xml:space="preserve"> </w:t>
      </w:r>
      <w:proofErr w:type="gramStart"/>
      <w:r w:rsidR="000C76AF" w:rsidRPr="000175A9">
        <w:rPr>
          <w:rFonts w:ascii="Arial" w:hAnsi="Arial" w:cs="Arial"/>
          <w:sz w:val="24"/>
          <w:szCs w:val="24"/>
        </w:rPr>
        <w:t>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so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without</w:t>
      </w:r>
      <w:r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encroaching</w:t>
      </w:r>
      <w:r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ri</w:t>
      </w:r>
      <w:r w:rsidR="000C76AF" w:rsidRPr="000175A9">
        <w:rPr>
          <w:rFonts w:ascii="Arial" w:hAnsi="Arial" w:cs="Arial"/>
          <w:sz w:val="24"/>
          <w:szCs w:val="24"/>
        </w:rPr>
        <w:t>ght</w:t>
      </w:r>
      <w:r w:rsidR="000C76AF" w:rsidRPr="000175A9">
        <w:rPr>
          <w:rFonts w:ascii="Arial" w:hAnsi="Arial" w:cs="Arial"/>
          <w:sz w:val="24"/>
          <w:szCs w:val="24"/>
        </w:rPr>
        <w:t>-</w:t>
      </w:r>
      <w:r w:rsidR="000C76AF" w:rsidRPr="000175A9">
        <w:rPr>
          <w:rFonts w:ascii="Arial" w:hAnsi="Arial" w:cs="Arial"/>
          <w:sz w:val="24"/>
          <w:szCs w:val="24"/>
        </w:rPr>
        <w:t>hand</w:t>
      </w:r>
      <w:r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side</w:t>
      </w:r>
      <w:r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roadway; or</w:t>
      </w:r>
    </w:p>
    <w:p w:rsidR="00E958F9" w:rsidRPr="000175A9" w:rsidRDefault="00E958F9" w:rsidP="000175A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E958F9" w:rsidRPr="000175A9" w:rsidRDefault="000175A9" w:rsidP="000175A9">
      <w:pPr>
        <w:tabs>
          <w:tab w:val="left" w:pos="3030"/>
        </w:tabs>
        <w:spacing w:before="70"/>
        <w:ind w:left="855" w:right="11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2"/>
          <w:sz w:val="24"/>
          <w:szCs w:val="24"/>
        </w:rPr>
        <w:t xml:space="preserve">(ii) </w:t>
      </w:r>
      <w:r w:rsidR="000C76AF" w:rsidRPr="000175A9">
        <w:rPr>
          <w:rFonts w:ascii="Arial" w:hAnsi="Arial" w:cs="Arial"/>
          <w:sz w:val="24"/>
          <w:szCs w:val="24"/>
        </w:rPr>
        <w:t>the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road</w:t>
      </w:r>
      <w:r w:rsidR="000C76AF" w:rsidRPr="000175A9">
        <w:rPr>
          <w:rFonts w:ascii="Arial" w:hAnsi="Arial" w:cs="Arial"/>
          <w:sz w:val="24"/>
          <w:szCs w:val="24"/>
        </w:rPr>
        <w:t>w</w:t>
      </w:r>
      <w:r w:rsidR="000C76AF" w:rsidRPr="000175A9">
        <w:rPr>
          <w:rFonts w:ascii="Arial" w:hAnsi="Arial" w:cs="Arial"/>
          <w:sz w:val="24"/>
          <w:szCs w:val="24"/>
        </w:rPr>
        <w:t>a</w:t>
      </w:r>
      <w:r w:rsidR="000C76AF" w:rsidRPr="000175A9">
        <w:rPr>
          <w:rFonts w:ascii="Arial" w:hAnsi="Arial" w:cs="Arial"/>
          <w:sz w:val="24"/>
          <w:szCs w:val="24"/>
        </w:rPr>
        <w:t>y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of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such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road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is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restricted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to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v</w:t>
      </w:r>
      <w:r w:rsidR="000C76AF" w:rsidRPr="000175A9">
        <w:rPr>
          <w:rFonts w:ascii="Arial" w:hAnsi="Arial" w:cs="Arial"/>
          <w:sz w:val="24"/>
          <w:szCs w:val="24"/>
        </w:rPr>
        <w:t>ehi</w:t>
      </w:r>
      <w:r w:rsidR="000C76AF" w:rsidRPr="000175A9">
        <w:rPr>
          <w:rFonts w:ascii="Arial" w:hAnsi="Arial" w:cs="Arial"/>
          <w:sz w:val="24"/>
          <w:szCs w:val="24"/>
        </w:rPr>
        <w:t>c</w:t>
      </w:r>
      <w:r w:rsidR="000C76AF" w:rsidRPr="000175A9">
        <w:rPr>
          <w:rFonts w:ascii="Arial" w:hAnsi="Arial" w:cs="Arial"/>
          <w:sz w:val="24"/>
          <w:szCs w:val="24"/>
        </w:rPr>
        <w:t>l</w:t>
      </w:r>
      <w:r w:rsidR="000C76AF" w:rsidRPr="000175A9">
        <w:rPr>
          <w:rFonts w:ascii="Arial" w:hAnsi="Arial" w:cs="Arial"/>
          <w:sz w:val="24"/>
          <w:szCs w:val="24"/>
        </w:rPr>
        <w:t>es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moving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in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one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6AF" w:rsidRPr="000175A9">
        <w:rPr>
          <w:rFonts w:ascii="Arial" w:hAnsi="Arial" w:cs="Arial"/>
          <w:sz w:val="24"/>
          <w:szCs w:val="24"/>
        </w:rPr>
        <w:t>directio</w:t>
      </w:r>
      <w:r w:rsidR="000C76AF" w:rsidRPr="000175A9">
        <w:rPr>
          <w:rFonts w:ascii="Arial" w:hAnsi="Arial" w:cs="Arial"/>
          <w:sz w:val="24"/>
          <w:szCs w:val="24"/>
        </w:rPr>
        <w:t>n</w:t>
      </w:r>
      <w:r w:rsidR="000C76AF" w:rsidRPr="000175A9">
        <w:rPr>
          <w:rFonts w:ascii="Arial" w:hAnsi="Arial" w:cs="Arial"/>
          <w:sz w:val="24"/>
          <w:szCs w:val="24"/>
        </w:rPr>
        <w:t>.</w:t>
      </w:r>
      <w:r w:rsidR="000C76AF" w:rsidRPr="000175A9">
        <w:rPr>
          <w:rFonts w:ascii="Arial" w:hAnsi="Arial" w:cs="Arial"/>
          <w:sz w:val="24"/>
          <w:szCs w:val="24"/>
        </w:rPr>
        <w:t>s</w:t>
      </w:r>
      <w:r w:rsidR="000C76AF" w:rsidRPr="000175A9">
        <w:rPr>
          <w:rFonts w:ascii="Arial" w:hAnsi="Arial" w:cs="Arial"/>
          <w:sz w:val="24"/>
          <w:szCs w:val="24"/>
        </w:rPr>
        <w:t>e</w:t>
      </w:r>
      <w:r w:rsidR="000C76AF" w:rsidRPr="000175A9">
        <w:rPr>
          <w:rFonts w:ascii="Arial" w:hAnsi="Arial" w:cs="Arial"/>
          <w:sz w:val="24"/>
          <w:szCs w:val="24"/>
        </w:rPr>
        <w:t>ction</w:t>
      </w:r>
      <w:proofErr w:type="spellEnd"/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99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(2)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of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the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Ro</w:t>
      </w:r>
      <w:r w:rsidR="000C76AF" w:rsidRPr="000175A9">
        <w:rPr>
          <w:rFonts w:ascii="Arial" w:hAnsi="Arial" w:cs="Arial"/>
          <w:sz w:val="24"/>
          <w:szCs w:val="24"/>
        </w:rPr>
        <w:t>a</w:t>
      </w:r>
      <w:r w:rsidR="000C76AF" w:rsidRPr="000175A9">
        <w:rPr>
          <w:rFonts w:ascii="Arial" w:hAnsi="Arial" w:cs="Arial"/>
          <w:sz w:val="24"/>
          <w:szCs w:val="24"/>
        </w:rPr>
        <w:t>d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Traffic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Act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which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prescribes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that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th</w:t>
      </w:r>
      <w:r w:rsidR="000C76AF" w:rsidRPr="000175A9">
        <w:rPr>
          <w:rFonts w:ascii="Arial" w:hAnsi="Arial" w:cs="Arial"/>
          <w:sz w:val="24"/>
          <w:szCs w:val="24"/>
        </w:rPr>
        <w:t>e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driver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of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a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vehicle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shall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not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e</w:t>
      </w:r>
      <w:r w:rsidR="000C76AF" w:rsidRPr="000175A9">
        <w:rPr>
          <w:rFonts w:ascii="Arial" w:hAnsi="Arial" w:cs="Arial"/>
          <w:sz w:val="24"/>
          <w:szCs w:val="24"/>
        </w:rPr>
        <w:t>nt</w:t>
      </w:r>
      <w:r w:rsidR="000C76AF" w:rsidRPr="000175A9">
        <w:rPr>
          <w:rFonts w:ascii="Arial" w:hAnsi="Arial" w:cs="Arial"/>
          <w:sz w:val="24"/>
          <w:szCs w:val="24"/>
        </w:rPr>
        <w:t>e</w:t>
      </w:r>
      <w:r w:rsidR="000C76AF" w:rsidRPr="000175A9">
        <w:rPr>
          <w:rFonts w:ascii="Arial" w:hAnsi="Arial" w:cs="Arial"/>
          <w:sz w:val="24"/>
          <w:szCs w:val="24"/>
        </w:rPr>
        <w:t>r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a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public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road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un</w:t>
      </w:r>
      <w:r w:rsidR="000C76AF" w:rsidRPr="000175A9">
        <w:rPr>
          <w:rFonts w:ascii="Arial" w:hAnsi="Arial" w:cs="Arial"/>
          <w:sz w:val="24"/>
          <w:szCs w:val="24"/>
        </w:rPr>
        <w:t>l</w:t>
      </w:r>
      <w:r w:rsidR="000C76AF" w:rsidRPr="000175A9">
        <w:rPr>
          <w:rFonts w:ascii="Arial" w:hAnsi="Arial" w:cs="Arial"/>
          <w:sz w:val="24"/>
          <w:szCs w:val="24"/>
        </w:rPr>
        <w:t>ess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he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can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do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so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with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safety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to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himse</w:t>
      </w:r>
      <w:r w:rsidR="000C76AF" w:rsidRPr="000175A9">
        <w:rPr>
          <w:rFonts w:ascii="Arial" w:hAnsi="Arial" w:cs="Arial"/>
          <w:sz w:val="24"/>
          <w:szCs w:val="24"/>
        </w:rPr>
        <w:t>l</w:t>
      </w:r>
      <w:r w:rsidR="000C76AF" w:rsidRPr="000175A9">
        <w:rPr>
          <w:rFonts w:ascii="Arial" w:hAnsi="Arial" w:cs="Arial"/>
          <w:sz w:val="24"/>
          <w:szCs w:val="24"/>
        </w:rPr>
        <w:t>f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and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other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traffic</w:t>
      </w:r>
      <w:r w:rsidR="000C76AF" w:rsidRPr="000175A9">
        <w:rPr>
          <w:rFonts w:ascii="Arial" w:hAnsi="Arial" w:cs="Arial"/>
          <w:sz w:val="24"/>
          <w:szCs w:val="24"/>
        </w:rPr>
        <w:t xml:space="preserve"> </w:t>
      </w:r>
      <w:r w:rsidR="000C76AF" w:rsidRPr="000175A9">
        <w:rPr>
          <w:rFonts w:ascii="Arial" w:hAnsi="Arial" w:cs="Arial"/>
          <w:sz w:val="24"/>
          <w:szCs w:val="24"/>
        </w:rPr>
        <w:t>.</w:t>
      </w:r>
    </w:p>
    <w:p w:rsidR="00BD49C8" w:rsidRDefault="000C76AF" w:rsidP="00BD49C8">
      <w:pPr>
        <w:pStyle w:val="BodyText"/>
        <w:spacing w:before="197"/>
        <w:ind w:left="139" w:right="121"/>
        <w:jc w:val="both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This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Court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</w:t>
      </w:r>
      <w:r w:rsidRPr="000175A9">
        <w:rPr>
          <w:rFonts w:ascii="Arial" w:hAnsi="Arial" w:cs="Arial"/>
          <w:sz w:val="24"/>
          <w:szCs w:val="24"/>
        </w:rPr>
        <w:t>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isfied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that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plaintiffs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have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made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out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their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case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against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defendants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w</w:t>
      </w:r>
      <w:r w:rsidRPr="000175A9">
        <w:rPr>
          <w:rFonts w:ascii="Arial" w:hAnsi="Arial" w:cs="Arial"/>
          <w:sz w:val="24"/>
          <w:szCs w:val="24"/>
        </w:rPr>
        <w:t>h</w:t>
      </w:r>
      <w:r w:rsidRPr="000175A9">
        <w:rPr>
          <w:rFonts w:ascii="Arial" w:hAnsi="Arial" w:cs="Arial"/>
          <w:sz w:val="24"/>
          <w:szCs w:val="24"/>
        </w:rPr>
        <w:t>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>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liable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herein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for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="00BD49C8">
        <w:rPr>
          <w:rFonts w:ascii="Arial" w:hAnsi="Arial" w:cs="Arial"/>
          <w:sz w:val="24"/>
          <w:szCs w:val="24"/>
        </w:rPr>
        <w:t>1</w:t>
      </w:r>
      <w:r w:rsidR="00BD49C8" w:rsidRPr="00BD49C8">
        <w:rPr>
          <w:rFonts w:ascii="Arial" w:hAnsi="Arial" w:cs="Arial"/>
          <w:sz w:val="24"/>
          <w:szCs w:val="24"/>
          <w:vertAlign w:val="superscript"/>
        </w:rPr>
        <w:t>st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defendant's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negligen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driving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that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resulted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</w:t>
      </w:r>
      <w:r w:rsidRPr="000175A9">
        <w:rPr>
          <w:rFonts w:ascii="Arial" w:hAnsi="Arial" w:cs="Arial"/>
          <w:sz w:val="24"/>
          <w:szCs w:val="24"/>
        </w:rPr>
        <w:t>n</w:t>
      </w:r>
      <w:r w:rsidRPr="000175A9">
        <w:rPr>
          <w:rFonts w:ascii="Arial" w:hAnsi="Arial" w:cs="Arial"/>
          <w:sz w:val="24"/>
          <w:szCs w:val="24"/>
        </w:rPr>
        <w:t>jury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to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plaintiffs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herein.</w:t>
      </w:r>
    </w:p>
    <w:p w:rsidR="00E958F9" w:rsidRPr="000175A9" w:rsidRDefault="000C76AF" w:rsidP="00BD49C8">
      <w:pPr>
        <w:pStyle w:val="BodyText"/>
        <w:spacing w:before="197"/>
        <w:ind w:left="139" w:right="121"/>
        <w:jc w:val="both"/>
        <w:rPr>
          <w:rFonts w:ascii="Arial" w:hAnsi="Arial" w:cs="Arial"/>
          <w:sz w:val="24"/>
          <w:szCs w:val="24"/>
        </w:rPr>
        <w:sectPr w:rsidR="00E958F9" w:rsidRPr="000175A9">
          <w:type w:val="continuous"/>
          <w:pgSz w:w="12220" w:h="16980"/>
          <w:pgMar w:top="640" w:right="1340" w:bottom="2500" w:left="1180" w:header="720" w:footer="720" w:gutter="0"/>
          <w:cols w:space="720"/>
        </w:sectPr>
      </w:pPr>
      <w:r w:rsidRPr="000175A9">
        <w:rPr>
          <w:rFonts w:ascii="Arial" w:hAnsi="Arial" w:cs="Arial"/>
          <w:sz w:val="24"/>
          <w:szCs w:val="24"/>
        </w:rPr>
        <w:t>The</w:t>
      </w:r>
      <w:r w:rsidR="00BD49C8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2nd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>a</w:t>
      </w:r>
      <w:r w:rsidRPr="000175A9">
        <w:rPr>
          <w:rFonts w:ascii="Arial" w:hAnsi="Arial" w:cs="Arial"/>
          <w:sz w:val="24"/>
          <w:szCs w:val="24"/>
        </w:rPr>
        <w:t>nt</w:t>
      </w:r>
      <w:r w:rsidR="00BD49C8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sued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liable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insurer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for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1</w:t>
      </w:r>
      <w:r w:rsidRPr="00BD49C8">
        <w:rPr>
          <w:rFonts w:ascii="Arial" w:hAnsi="Arial" w:cs="Arial"/>
          <w:sz w:val="24"/>
          <w:szCs w:val="24"/>
          <w:vertAlign w:val="superscript"/>
        </w:rPr>
        <w:t>s</w:t>
      </w:r>
      <w:r w:rsidRPr="00BD49C8">
        <w:rPr>
          <w:rFonts w:ascii="Arial" w:hAnsi="Arial" w:cs="Arial"/>
          <w:sz w:val="24"/>
          <w:szCs w:val="24"/>
          <w:vertAlign w:val="superscript"/>
        </w:rPr>
        <w:t>t</w:t>
      </w:r>
      <w:r w:rsid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3</w:t>
      </w:r>
      <w:r w:rsidRPr="00BD49C8">
        <w:rPr>
          <w:rFonts w:ascii="Arial" w:hAnsi="Arial" w:cs="Arial"/>
          <w:sz w:val="24"/>
          <w:szCs w:val="24"/>
          <w:vertAlign w:val="superscript"/>
        </w:rPr>
        <w:t>r</w:t>
      </w:r>
      <w:r w:rsidRPr="00BD49C8">
        <w:rPr>
          <w:rFonts w:ascii="Arial" w:hAnsi="Arial" w:cs="Arial"/>
          <w:sz w:val="24"/>
          <w:szCs w:val="24"/>
          <w:vertAlign w:val="superscript"/>
        </w:rPr>
        <w:t>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</w:t>
      </w:r>
      <w:r w:rsidRPr="000175A9">
        <w:rPr>
          <w:rFonts w:ascii="Arial" w:hAnsi="Arial" w:cs="Arial"/>
          <w:sz w:val="24"/>
          <w:szCs w:val="24"/>
        </w:rPr>
        <w:t>efendants.</w:t>
      </w:r>
    </w:p>
    <w:p w:rsidR="00E958F9" w:rsidRPr="000175A9" w:rsidRDefault="00E958F9" w:rsidP="000175A9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E958F9" w:rsidRPr="000175A9" w:rsidRDefault="000C76AF" w:rsidP="000175A9">
      <w:pPr>
        <w:pStyle w:val="BodyText"/>
        <w:spacing w:before="65"/>
        <w:ind w:left="102" w:right="98"/>
        <w:jc w:val="both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plaintiffs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havi</w:t>
      </w:r>
      <w:r w:rsidRPr="000175A9">
        <w:rPr>
          <w:rFonts w:ascii="Arial" w:hAnsi="Arial" w:cs="Arial"/>
          <w:sz w:val="24"/>
          <w:szCs w:val="24"/>
        </w:rPr>
        <w:t>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made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out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case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of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negligence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against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defendants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herein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Court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finds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defendants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l</w:t>
      </w:r>
      <w:r w:rsidRPr="000175A9">
        <w:rPr>
          <w:rFonts w:ascii="Arial" w:hAnsi="Arial" w:cs="Arial"/>
          <w:sz w:val="24"/>
          <w:szCs w:val="24"/>
        </w:rPr>
        <w:t>iable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for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negligence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causing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injuries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suffered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plaintiffs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h</w:t>
      </w:r>
      <w:r w:rsidRPr="000175A9">
        <w:rPr>
          <w:rFonts w:ascii="Arial" w:hAnsi="Arial" w:cs="Arial"/>
          <w:sz w:val="24"/>
          <w:szCs w:val="24"/>
        </w:rPr>
        <w:t>erein.</w:t>
      </w:r>
    </w:p>
    <w:p w:rsidR="00E958F9" w:rsidRPr="000175A9" w:rsidRDefault="000C76AF" w:rsidP="000175A9">
      <w:pPr>
        <w:pStyle w:val="BodyText"/>
        <w:spacing w:before="202"/>
        <w:ind w:left="102"/>
        <w:jc w:val="both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Damages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shall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assessed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Registrar.</w:t>
      </w:r>
    </w:p>
    <w:p w:rsidR="00E958F9" w:rsidRPr="000175A9" w:rsidRDefault="00E958F9" w:rsidP="000175A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E958F9" w:rsidRPr="000175A9" w:rsidRDefault="000C76AF" w:rsidP="000175A9">
      <w:pPr>
        <w:pStyle w:val="BodyText"/>
        <w:ind w:left="102" w:right="211" w:firstLine="4"/>
        <w:rPr>
          <w:rFonts w:ascii="Arial" w:hAnsi="Arial" w:cs="Arial"/>
          <w:sz w:val="24"/>
          <w:szCs w:val="24"/>
        </w:rPr>
      </w:pPr>
      <w:r w:rsidRPr="000175A9">
        <w:rPr>
          <w:rFonts w:ascii="Arial" w:hAnsi="Arial" w:cs="Arial"/>
          <w:sz w:val="24"/>
          <w:szCs w:val="24"/>
        </w:rPr>
        <w:t>Costs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normally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fo</w:t>
      </w:r>
      <w:r w:rsidRPr="000175A9">
        <w:rPr>
          <w:rFonts w:ascii="Arial" w:hAnsi="Arial" w:cs="Arial"/>
          <w:sz w:val="24"/>
          <w:szCs w:val="24"/>
        </w:rPr>
        <w:t>llow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event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and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shall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therefore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for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the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su</w:t>
      </w:r>
      <w:r w:rsidRPr="000175A9">
        <w:rPr>
          <w:rFonts w:ascii="Arial" w:hAnsi="Arial" w:cs="Arial"/>
          <w:sz w:val="24"/>
          <w:szCs w:val="24"/>
        </w:rPr>
        <w:t>ccessful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plaintiffs.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Made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in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open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cou</w:t>
      </w:r>
      <w:r w:rsidRPr="000175A9">
        <w:rPr>
          <w:rFonts w:ascii="Arial" w:hAnsi="Arial" w:cs="Arial"/>
          <w:sz w:val="24"/>
          <w:szCs w:val="24"/>
        </w:rPr>
        <w:t>rt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at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Blantyre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t</w:t>
      </w:r>
      <w:r w:rsidRPr="000175A9">
        <w:rPr>
          <w:rFonts w:ascii="Arial" w:hAnsi="Arial" w:cs="Arial"/>
          <w:sz w:val="24"/>
          <w:szCs w:val="24"/>
        </w:rPr>
        <w:t>his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1st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December</w:t>
      </w:r>
      <w:r w:rsidRPr="000175A9">
        <w:rPr>
          <w:rFonts w:ascii="Arial" w:hAnsi="Arial" w:cs="Arial"/>
          <w:sz w:val="24"/>
          <w:szCs w:val="24"/>
        </w:rPr>
        <w:t xml:space="preserve"> </w:t>
      </w:r>
      <w:r w:rsidRPr="000175A9">
        <w:rPr>
          <w:rFonts w:ascii="Arial" w:hAnsi="Arial" w:cs="Arial"/>
          <w:sz w:val="24"/>
          <w:szCs w:val="24"/>
        </w:rPr>
        <w:t>2016.</w:t>
      </w:r>
    </w:p>
    <w:p w:rsidR="00E958F9" w:rsidRPr="000175A9" w:rsidRDefault="00E958F9" w:rsidP="000175A9">
      <w:pPr>
        <w:rPr>
          <w:rFonts w:ascii="Arial" w:eastAsia="Times New Roman" w:hAnsi="Arial" w:cs="Arial"/>
          <w:sz w:val="24"/>
          <w:szCs w:val="24"/>
        </w:rPr>
      </w:pPr>
    </w:p>
    <w:p w:rsidR="00E958F9" w:rsidRPr="000175A9" w:rsidRDefault="000C76AF" w:rsidP="000175A9">
      <w:pPr>
        <w:ind w:left="3589"/>
        <w:rPr>
          <w:rFonts w:ascii="Arial" w:eastAsia="Times New Roman" w:hAnsi="Arial" w:cs="Arial"/>
          <w:sz w:val="24"/>
          <w:szCs w:val="24"/>
        </w:rPr>
      </w:pPr>
      <w:r w:rsidRPr="000175A9">
        <w:rPr>
          <w:rFonts w:ascii="Arial" w:eastAsia="Times New Roman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2438400" cy="987551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58F9" w:rsidRPr="000175A9">
      <w:pgSz w:w="12240" w:h="16880"/>
      <w:pgMar w:top="1600" w:right="1240" w:bottom="1500" w:left="1460" w:header="0" w:footer="1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AF" w:rsidRDefault="000C76AF">
      <w:r>
        <w:separator/>
      </w:r>
    </w:p>
  </w:endnote>
  <w:endnote w:type="continuationSeparator" w:id="0">
    <w:p w:rsidR="000C76AF" w:rsidRDefault="000C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F9" w:rsidRDefault="000C76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8pt;margin-top:772.05pt;width:6.95pt;height:11.5pt;z-index:-4480;mso-position-horizontal-relative:page;mso-position-vertical-relative:page" filled="f" stroked="f">
          <v:textbox inset="0,0,0,0">
            <w:txbxContent>
              <w:p w:rsidR="00E958F9" w:rsidRDefault="000C76AF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414D64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F9" w:rsidRDefault="000C76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75pt;margin-top:718.35pt;width:9.7pt;height:12pt;z-index:-4504;mso-position-horizontal-relative:page;mso-position-vertical-relative:page" filled="f" stroked="f">
          <v:textbox inset="0,0,0,0">
            <w:txbxContent>
              <w:p w:rsidR="00E958F9" w:rsidRDefault="000C76A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3D4964"/>
                    <w:w w:val="155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F9" w:rsidRDefault="000C76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pt;margin-top:767.1pt;width:7.45pt;height:12pt;z-index:-4432;mso-position-horizontal-relative:page;mso-position-vertical-relative:page" filled="f" stroked="f">
          <v:textbox style="mso-next-textbox:#_x0000_s2049" inset="0,0,0,0">
            <w:txbxContent>
              <w:p w:rsidR="00E958F9" w:rsidRDefault="000C76A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3B4660"/>
                    <w:w w:val="110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F9" w:rsidRDefault="000C76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pt;margin-top:722.15pt;width:7.95pt;height:12pt;z-index:-4456;mso-position-horizontal-relative:page;mso-position-vertical-relative:page" filled="f" stroked="f">
          <v:textbox style="mso-next-textbox:#_x0000_s2050" inset="0,0,0,0">
            <w:txbxContent>
              <w:p w:rsidR="00E958F9" w:rsidRDefault="000C76A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424F67"/>
                    <w:w w:val="120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AF" w:rsidRDefault="000C76AF">
      <w:r>
        <w:separator/>
      </w:r>
    </w:p>
  </w:footnote>
  <w:footnote w:type="continuationSeparator" w:id="0">
    <w:p w:rsidR="000C76AF" w:rsidRDefault="000C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956EC"/>
    <w:multiLevelType w:val="hybridMultilevel"/>
    <w:tmpl w:val="B6A42236"/>
    <w:lvl w:ilvl="0" w:tplc="DC6A52E6">
      <w:start w:val="1"/>
      <w:numFmt w:val="lowerRoman"/>
      <w:lvlText w:val="(%1)"/>
      <w:lvlJc w:val="left"/>
      <w:pPr>
        <w:ind w:left="855" w:hanging="725"/>
        <w:jc w:val="right"/>
      </w:pPr>
      <w:rPr>
        <w:rFonts w:ascii="Times New Roman" w:eastAsia="Times New Roman" w:hAnsi="Times New Roman" w:hint="default"/>
        <w:color w:val="424F67"/>
        <w:w w:val="102"/>
        <w:sz w:val="23"/>
        <w:szCs w:val="23"/>
      </w:rPr>
    </w:lvl>
    <w:lvl w:ilvl="1" w:tplc="95707F3A">
      <w:start w:val="1"/>
      <w:numFmt w:val="bullet"/>
      <w:lvlText w:val="•"/>
      <w:lvlJc w:val="left"/>
      <w:pPr>
        <w:ind w:left="1535" w:hanging="725"/>
      </w:pPr>
      <w:rPr>
        <w:rFonts w:hint="default"/>
      </w:rPr>
    </w:lvl>
    <w:lvl w:ilvl="2" w:tplc="54B88A78">
      <w:start w:val="1"/>
      <w:numFmt w:val="bullet"/>
      <w:lvlText w:val="•"/>
      <w:lvlJc w:val="left"/>
      <w:pPr>
        <w:ind w:left="2215" w:hanging="725"/>
      </w:pPr>
      <w:rPr>
        <w:rFonts w:hint="default"/>
      </w:rPr>
    </w:lvl>
    <w:lvl w:ilvl="3" w:tplc="C92E76A4">
      <w:start w:val="1"/>
      <w:numFmt w:val="bullet"/>
      <w:lvlText w:val="•"/>
      <w:lvlJc w:val="left"/>
      <w:pPr>
        <w:ind w:left="2895" w:hanging="725"/>
      </w:pPr>
      <w:rPr>
        <w:rFonts w:hint="default"/>
      </w:rPr>
    </w:lvl>
    <w:lvl w:ilvl="4" w:tplc="D8EE9EFA">
      <w:start w:val="1"/>
      <w:numFmt w:val="bullet"/>
      <w:lvlText w:val="•"/>
      <w:lvlJc w:val="left"/>
      <w:pPr>
        <w:ind w:left="3575" w:hanging="725"/>
      </w:pPr>
      <w:rPr>
        <w:rFonts w:hint="default"/>
      </w:rPr>
    </w:lvl>
    <w:lvl w:ilvl="5" w:tplc="8DFEE4E6">
      <w:start w:val="1"/>
      <w:numFmt w:val="bullet"/>
      <w:lvlText w:val="•"/>
      <w:lvlJc w:val="left"/>
      <w:pPr>
        <w:ind w:left="4255" w:hanging="725"/>
      </w:pPr>
      <w:rPr>
        <w:rFonts w:hint="default"/>
      </w:rPr>
    </w:lvl>
    <w:lvl w:ilvl="6" w:tplc="05F87A3E">
      <w:start w:val="1"/>
      <w:numFmt w:val="bullet"/>
      <w:lvlText w:val="•"/>
      <w:lvlJc w:val="left"/>
      <w:pPr>
        <w:ind w:left="4935" w:hanging="725"/>
      </w:pPr>
      <w:rPr>
        <w:rFonts w:hint="default"/>
      </w:rPr>
    </w:lvl>
    <w:lvl w:ilvl="7" w:tplc="33884E94">
      <w:start w:val="1"/>
      <w:numFmt w:val="bullet"/>
      <w:lvlText w:val="•"/>
      <w:lvlJc w:val="left"/>
      <w:pPr>
        <w:ind w:left="5615" w:hanging="725"/>
      </w:pPr>
      <w:rPr>
        <w:rFonts w:hint="default"/>
      </w:rPr>
    </w:lvl>
    <w:lvl w:ilvl="8" w:tplc="19CADF8E">
      <w:start w:val="1"/>
      <w:numFmt w:val="bullet"/>
      <w:lvlText w:val="•"/>
      <w:lvlJc w:val="left"/>
      <w:pPr>
        <w:ind w:left="6295" w:hanging="7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58F9"/>
    <w:rsid w:val="000175A9"/>
    <w:rsid w:val="000C76AF"/>
    <w:rsid w:val="00BD49C8"/>
    <w:rsid w:val="00E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AC0C222-2F30-4393-AF16-59B80C2E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2017-01-19T08:49:00Z</dcterms:created>
  <dcterms:modified xsi:type="dcterms:W3CDTF">2017-01-19T06:58:00Z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2017-01-19T00:00:00Z</vt:filetime>
  </property>
</Properties>
</file>