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F1" w:rsidRDefault="00A376F4" w:rsidP="003F7283">
      <w:pPr>
        <w:jc w:val="both"/>
        <w:rPr>
          <w:sz w:val="36"/>
          <w:szCs w:val="36"/>
        </w:rPr>
      </w:pPr>
      <w:bookmarkStart w:id="0" w:name="_GoBack"/>
      <w:bookmarkEnd w:id="0"/>
      <w:r w:rsidRPr="00A376F4">
        <w:rPr>
          <w:noProof/>
          <w:sz w:val="36"/>
          <w:szCs w:val="36"/>
          <w:lang w:eastAsia="en-GB"/>
        </w:rPr>
        <w:drawing>
          <wp:anchor distT="0" distB="0" distL="114300" distR="114300" simplePos="0" relativeHeight="251659264" behindDoc="0" locked="0" layoutInCell="1" allowOverlap="1">
            <wp:simplePos x="0" y="0"/>
            <wp:positionH relativeFrom="column">
              <wp:posOffset>2253367</wp:posOffset>
            </wp:positionH>
            <wp:positionV relativeFrom="paragraph">
              <wp:posOffset>-620202</wp:posOffset>
            </wp:positionV>
            <wp:extent cx="1372428" cy="866692"/>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72428" cy="866692"/>
                    </a:xfrm>
                    <a:prstGeom prst="rect">
                      <a:avLst/>
                    </a:prstGeom>
                    <a:noFill/>
                    <a:ln w="9525">
                      <a:noFill/>
                      <a:miter lim="800000"/>
                      <a:headEnd/>
                      <a:tailEnd/>
                    </a:ln>
                  </pic:spPr>
                </pic:pic>
              </a:graphicData>
            </a:graphic>
          </wp:anchor>
        </w:drawing>
      </w:r>
    </w:p>
    <w:p w:rsidR="008F613B" w:rsidRPr="007D5E50" w:rsidRDefault="008F613B" w:rsidP="006353E6">
      <w:pPr>
        <w:jc w:val="center"/>
        <w:rPr>
          <w:rFonts w:ascii="Century Gothic" w:hAnsi="Century Gothic"/>
          <w:b/>
          <w:sz w:val="24"/>
          <w:szCs w:val="28"/>
          <w:u w:val="single"/>
        </w:rPr>
      </w:pPr>
      <w:r w:rsidRPr="007D5E50">
        <w:rPr>
          <w:rFonts w:ascii="Century Gothic" w:hAnsi="Century Gothic"/>
          <w:b/>
          <w:sz w:val="24"/>
          <w:szCs w:val="28"/>
          <w:u w:val="single"/>
        </w:rPr>
        <w:t>IN THE HIGH COURT OF MALAWI</w:t>
      </w:r>
    </w:p>
    <w:p w:rsidR="008F613B" w:rsidRPr="007D5E50" w:rsidRDefault="008F613B" w:rsidP="006353E6">
      <w:pPr>
        <w:jc w:val="center"/>
        <w:rPr>
          <w:rFonts w:ascii="Century Gothic" w:hAnsi="Century Gothic"/>
          <w:b/>
          <w:sz w:val="24"/>
          <w:szCs w:val="28"/>
          <w:u w:val="single"/>
        </w:rPr>
      </w:pPr>
      <w:r w:rsidRPr="007D5E50">
        <w:rPr>
          <w:rFonts w:ascii="Century Gothic" w:hAnsi="Century Gothic"/>
          <w:b/>
          <w:sz w:val="24"/>
          <w:szCs w:val="28"/>
          <w:u w:val="single"/>
        </w:rPr>
        <w:t>PRINCIPAL REGISTRY</w:t>
      </w:r>
    </w:p>
    <w:p w:rsidR="008F613B" w:rsidRPr="007D5E50" w:rsidRDefault="008F613B" w:rsidP="003F7283">
      <w:pPr>
        <w:jc w:val="both"/>
        <w:rPr>
          <w:rFonts w:ascii="Century Gothic" w:hAnsi="Century Gothic"/>
          <w:b/>
          <w:sz w:val="24"/>
          <w:szCs w:val="28"/>
          <w:u w:val="single"/>
        </w:rPr>
      </w:pPr>
      <w:r w:rsidRPr="007D5E50">
        <w:rPr>
          <w:rFonts w:ascii="Century Gothic" w:hAnsi="Century Gothic"/>
          <w:b/>
          <w:sz w:val="24"/>
          <w:szCs w:val="28"/>
          <w:u w:val="single"/>
        </w:rPr>
        <w:t>MISCELLANEOUS CRIMINAL APPLICATION NUMBER 14 OF 2013</w:t>
      </w:r>
    </w:p>
    <w:p w:rsidR="008F613B" w:rsidRPr="006353E6" w:rsidRDefault="008F613B" w:rsidP="003F7283">
      <w:pPr>
        <w:jc w:val="both"/>
        <w:rPr>
          <w:rFonts w:ascii="Century Gothic" w:hAnsi="Century Gothic"/>
          <w:sz w:val="28"/>
          <w:szCs w:val="28"/>
        </w:rPr>
      </w:pPr>
    </w:p>
    <w:p w:rsidR="008F613B" w:rsidRPr="006353E6" w:rsidRDefault="008F613B" w:rsidP="003F7283">
      <w:pPr>
        <w:jc w:val="both"/>
        <w:rPr>
          <w:rFonts w:ascii="Century Gothic" w:hAnsi="Century Gothic"/>
          <w:b/>
          <w:sz w:val="28"/>
          <w:szCs w:val="28"/>
        </w:rPr>
      </w:pPr>
      <w:r w:rsidRPr="006353E6">
        <w:rPr>
          <w:rFonts w:ascii="Century Gothic" w:hAnsi="Century Gothic"/>
          <w:b/>
          <w:sz w:val="28"/>
          <w:szCs w:val="28"/>
        </w:rPr>
        <w:t>IN THE MATTER OF SECTION 42(2)(1) OF THE REPUBLIC OF MALAWI</w:t>
      </w:r>
    </w:p>
    <w:p w:rsidR="006353E6" w:rsidRDefault="006353E6" w:rsidP="003F7283">
      <w:pPr>
        <w:jc w:val="both"/>
        <w:rPr>
          <w:rFonts w:ascii="Century Gothic" w:hAnsi="Century Gothic"/>
          <w:b/>
          <w:sz w:val="28"/>
          <w:szCs w:val="28"/>
        </w:rPr>
      </w:pPr>
    </w:p>
    <w:p w:rsidR="008F613B" w:rsidRPr="006353E6" w:rsidRDefault="008F613B" w:rsidP="003F7283">
      <w:pPr>
        <w:jc w:val="both"/>
        <w:rPr>
          <w:rFonts w:ascii="Century Gothic" w:hAnsi="Century Gothic"/>
          <w:b/>
          <w:sz w:val="28"/>
          <w:szCs w:val="28"/>
        </w:rPr>
      </w:pPr>
      <w:r w:rsidRPr="006353E6">
        <w:rPr>
          <w:rFonts w:ascii="Century Gothic" w:hAnsi="Century Gothic"/>
          <w:b/>
          <w:sz w:val="28"/>
          <w:szCs w:val="28"/>
        </w:rPr>
        <w:t>GEOFREY DOFF BOTTOMAN ....</w:t>
      </w:r>
      <w:r w:rsidR="006353E6">
        <w:rPr>
          <w:rFonts w:ascii="Century Gothic" w:hAnsi="Century Gothic"/>
          <w:b/>
          <w:sz w:val="28"/>
          <w:szCs w:val="28"/>
        </w:rPr>
        <w:t>...</w:t>
      </w:r>
      <w:r w:rsidRPr="006353E6">
        <w:rPr>
          <w:rFonts w:ascii="Century Gothic" w:hAnsi="Century Gothic"/>
          <w:b/>
          <w:sz w:val="28"/>
          <w:szCs w:val="28"/>
        </w:rPr>
        <w:t>...</w:t>
      </w:r>
      <w:r w:rsidR="006353E6">
        <w:rPr>
          <w:rFonts w:ascii="Century Gothic" w:hAnsi="Century Gothic"/>
          <w:b/>
          <w:sz w:val="28"/>
          <w:szCs w:val="28"/>
        </w:rPr>
        <w:t>...</w:t>
      </w:r>
      <w:r w:rsidRPr="006353E6">
        <w:rPr>
          <w:rFonts w:ascii="Century Gothic" w:hAnsi="Century Gothic"/>
          <w:b/>
          <w:sz w:val="28"/>
          <w:szCs w:val="28"/>
        </w:rPr>
        <w:t>.................. 1</w:t>
      </w:r>
      <w:r w:rsidRPr="006353E6">
        <w:rPr>
          <w:rFonts w:ascii="Century Gothic" w:hAnsi="Century Gothic"/>
          <w:b/>
          <w:sz w:val="28"/>
          <w:szCs w:val="28"/>
          <w:vertAlign w:val="superscript"/>
        </w:rPr>
        <w:t>ST</w:t>
      </w:r>
      <w:r w:rsidRPr="006353E6">
        <w:rPr>
          <w:rFonts w:ascii="Century Gothic" w:hAnsi="Century Gothic"/>
          <w:b/>
          <w:sz w:val="28"/>
          <w:szCs w:val="28"/>
        </w:rPr>
        <w:t xml:space="preserve"> APPLICANT</w:t>
      </w:r>
    </w:p>
    <w:p w:rsidR="006353E6" w:rsidRDefault="006353E6" w:rsidP="003F7283">
      <w:pPr>
        <w:jc w:val="both"/>
        <w:rPr>
          <w:rFonts w:ascii="Century Gothic" w:hAnsi="Century Gothic"/>
          <w:b/>
          <w:sz w:val="28"/>
          <w:szCs w:val="28"/>
        </w:rPr>
      </w:pPr>
      <w:r>
        <w:rPr>
          <w:rFonts w:ascii="Century Gothic" w:hAnsi="Century Gothic"/>
          <w:b/>
          <w:sz w:val="28"/>
          <w:szCs w:val="28"/>
        </w:rPr>
        <w:t>and</w:t>
      </w:r>
    </w:p>
    <w:p w:rsidR="008F613B" w:rsidRPr="006353E6" w:rsidRDefault="008F613B" w:rsidP="003F7283">
      <w:pPr>
        <w:jc w:val="both"/>
        <w:rPr>
          <w:rFonts w:ascii="Century Gothic" w:hAnsi="Century Gothic"/>
          <w:b/>
          <w:sz w:val="28"/>
          <w:szCs w:val="28"/>
        </w:rPr>
      </w:pPr>
      <w:r w:rsidRPr="006353E6">
        <w:rPr>
          <w:rFonts w:ascii="Century Gothic" w:hAnsi="Century Gothic"/>
          <w:b/>
          <w:sz w:val="28"/>
          <w:szCs w:val="28"/>
        </w:rPr>
        <w:t>PETER PETROS TEMBO .........</w:t>
      </w:r>
      <w:r w:rsidR="006353E6">
        <w:rPr>
          <w:rFonts w:ascii="Century Gothic" w:hAnsi="Century Gothic"/>
          <w:b/>
          <w:sz w:val="28"/>
          <w:szCs w:val="28"/>
        </w:rPr>
        <w:t>......</w:t>
      </w:r>
      <w:r w:rsidRPr="006353E6">
        <w:rPr>
          <w:rFonts w:ascii="Century Gothic" w:hAnsi="Century Gothic"/>
          <w:b/>
          <w:sz w:val="28"/>
          <w:szCs w:val="28"/>
        </w:rPr>
        <w:t>...</w:t>
      </w:r>
      <w:r w:rsidR="006353E6">
        <w:rPr>
          <w:rFonts w:ascii="Century Gothic" w:hAnsi="Century Gothic"/>
          <w:b/>
          <w:sz w:val="28"/>
          <w:szCs w:val="28"/>
        </w:rPr>
        <w:t>...</w:t>
      </w:r>
      <w:r w:rsidRPr="006353E6">
        <w:rPr>
          <w:rFonts w:ascii="Century Gothic" w:hAnsi="Century Gothic"/>
          <w:b/>
          <w:sz w:val="28"/>
          <w:szCs w:val="28"/>
        </w:rPr>
        <w:t>..................... 2</w:t>
      </w:r>
      <w:r w:rsidRPr="006353E6">
        <w:rPr>
          <w:rFonts w:ascii="Century Gothic" w:hAnsi="Century Gothic"/>
          <w:b/>
          <w:sz w:val="28"/>
          <w:szCs w:val="28"/>
          <w:vertAlign w:val="superscript"/>
        </w:rPr>
        <w:t>ND</w:t>
      </w:r>
      <w:r w:rsidRPr="006353E6">
        <w:rPr>
          <w:rFonts w:ascii="Century Gothic" w:hAnsi="Century Gothic"/>
          <w:b/>
          <w:sz w:val="28"/>
          <w:szCs w:val="28"/>
        </w:rPr>
        <w:t xml:space="preserve"> APPLICANT</w:t>
      </w:r>
    </w:p>
    <w:p w:rsidR="008F613B" w:rsidRPr="006353E6" w:rsidRDefault="008F613B" w:rsidP="006353E6">
      <w:pPr>
        <w:pStyle w:val="ListParagraph"/>
        <w:numPr>
          <w:ilvl w:val="0"/>
          <w:numId w:val="1"/>
        </w:numPr>
        <w:jc w:val="center"/>
        <w:rPr>
          <w:rFonts w:ascii="Century Gothic" w:hAnsi="Century Gothic"/>
          <w:b/>
          <w:sz w:val="28"/>
          <w:szCs w:val="28"/>
        </w:rPr>
      </w:pPr>
      <w:r w:rsidRPr="006353E6">
        <w:rPr>
          <w:rFonts w:ascii="Century Gothic" w:hAnsi="Century Gothic"/>
          <w:b/>
          <w:sz w:val="28"/>
          <w:szCs w:val="28"/>
        </w:rPr>
        <w:t>AND –</w:t>
      </w:r>
    </w:p>
    <w:p w:rsidR="008F613B" w:rsidRPr="006353E6" w:rsidRDefault="008F613B" w:rsidP="008F613B">
      <w:pPr>
        <w:jc w:val="both"/>
        <w:rPr>
          <w:rFonts w:ascii="Century Gothic" w:hAnsi="Century Gothic"/>
          <w:b/>
          <w:sz w:val="28"/>
          <w:szCs w:val="28"/>
        </w:rPr>
      </w:pPr>
      <w:r w:rsidRPr="006353E6">
        <w:rPr>
          <w:rFonts w:ascii="Century Gothic" w:hAnsi="Century Gothic"/>
          <w:b/>
          <w:sz w:val="28"/>
          <w:szCs w:val="28"/>
        </w:rPr>
        <w:t>THE REPUBLIC .....................................</w:t>
      </w:r>
      <w:r w:rsidR="006353E6">
        <w:rPr>
          <w:rFonts w:ascii="Century Gothic" w:hAnsi="Century Gothic"/>
          <w:b/>
          <w:sz w:val="28"/>
          <w:szCs w:val="28"/>
        </w:rPr>
        <w:t>...........</w:t>
      </w:r>
      <w:r w:rsidRPr="006353E6">
        <w:rPr>
          <w:rFonts w:ascii="Century Gothic" w:hAnsi="Century Gothic"/>
          <w:b/>
          <w:sz w:val="28"/>
          <w:szCs w:val="28"/>
        </w:rPr>
        <w:t>....... RESPONDENT</w:t>
      </w:r>
    </w:p>
    <w:p w:rsidR="008F613B" w:rsidRPr="006353E6" w:rsidRDefault="008F613B" w:rsidP="008F613B">
      <w:pPr>
        <w:jc w:val="both"/>
        <w:rPr>
          <w:rFonts w:ascii="Century Gothic" w:hAnsi="Century Gothic"/>
          <w:b/>
          <w:sz w:val="28"/>
          <w:szCs w:val="28"/>
        </w:rPr>
      </w:pPr>
    </w:p>
    <w:p w:rsidR="008F613B" w:rsidRPr="0040089E" w:rsidRDefault="008F613B" w:rsidP="008F613B">
      <w:pPr>
        <w:jc w:val="both"/>
        <w:rPr>
          <w:rFonts w:ascii="Century Gothic" w:hAnsi="Century Gothic"/>
          <w:b/>
          <w:sz w:val="24"/>
          <w:szCs w:val="28"/>
        </w:rPr>
      </w:pPr>
      <w:r w:rsidRPr="0040089E">
        <w:rPr>
          <w:rFonts w:ascii="Century Gothic" w:hAnsi="Century Gothic"/>
          <w:b/>
          <w:sz w:val="24"/>
          <w:szCs w:val="28"/>
        </w:rPr>
        <w:t>INTER-PARTIES APPLICATION FOR CERTIFICATION AS A CONSTITUTIONAL MATTER</w:t>
      </w:r>
      <w:r w:rsidRPr="006353E6">
        <w:rPr>
          <w:rFonts w:ascii="Century Gothic" w:hAnsi="Century Gothic"/>
          <w:b/>
          <w:sz w:val="28"/>
          <w:szCs w:val="28"/>
        </w:rPr>
        <w:t xml:space="preserve"> </w:t>
      </w:r>
      <w:r w:rsidRPr="0040089E">
        <w:rPr>
          <w:rFonts w:ascii="Century Gothic" w:hAnsi="Century Gothic"/>
          <w:b/>
          <w:sz w:val="24"/>
          <w:szCs w:val="28"/>
        </w:rPr>
        <w:t>(Section 9 (3) of the Courts (Amendments) Act 2004</w:t>
      </w:r>
      <w:r w:rsidR="00B40CE1">
        <w:rPr>
          <w:rFonts w:ascii="Century Gothic" w:hAnsi="Century Gothic"/>
          <w:b/>
          <w:sz w:val="24"/>
          <w:szCs w:val="28"/>
        </w:rPr>
        <w:t>)</w:t>
      </w:r>
    </w:p>
    <w:p w:rsidR="0040089E" w:rsidRDefault="0040089E" w:rsidP="006353E6">
      <w:pPr>
        <w:pStyle w:val="NoSpacing"/>
        <w:rPr>
          <w:rFonts w:ascii="Century Gothic" w:hAnsi="Century Gothic"/>
          <w:b/>
          <w:sz w:val="28"/>
        </w:rPr>
      </w:pPr>
    </w:p>
    <w:p w:rsidR="008F613B" w:rsidRPr="006353E6" w:rsidRDefault="008F613B" w:rsidP="006353E6">
      <w:pPr>
        <w:pStyle w:val="NoSpacing"/>
        <w:rPr>
          <w:rFonts w:ascii="Century Gothic" w:hAnsi="Century Gothic"/>
          <w:b/>
          <w:sz w:val="28"/>
        </w:rPr>
      </w:pPr>
      <w:r w:rsidRPr="006353E6">
        <w:rPr>
          <w:rFonts w:ascii="Century Gothic" w:hAnsi="Century Gothic"/>
          <w:b/>
          <w:sz w:val="28"/>
        </w:rPr>
        <w:t>CORAM:</w:t>
      </w:r>
      <w:r w:rsidRPr="006353E6">
        <w:rPr>
          <w:rFonts w:ascii="Century Gothic" w:hAnsi="Century Gothic"/>
          <w:b/>
          <w:sz w:val="28"/>
        </w:rPr>
        <w:tab/>
      </w:r>
      <w:r w:rsidR="00D70386" w:rsidRPr="006353E6">
        <w:rPr>
          <w:rFonts w:ascii="Century Gothic" w:hAnsi="Century Gothic"/>
          <w:b/>
          <w:sz w:val="28"/>
        </w:rPr>
        <w:t>HONOURABLE JUSTICE A. K. C. NYIRENDA, SC, CJ</w:t>
      </w:r>
    </w:p>
    <w:p w:rsidR="00D70386" w:rsidRPr="006353E6" w:rsidRDefault="00D70386" w:rsidP="006353E6">
      <w:pPr>
        <w:pStyle w:val="NoSpacing"/>
        <w:rPr>
          <w:rFonts w:ascii="Century Gothic" w:hAnsi="Century Gothic"/>
          <w:sz w:val="28"/>
        </w:rPr>
      </w:pPr>
      <w:r w:rsidRPr="006353E6">
        <w:rPr>
          <w:rFonts w:ascii="Century Gothic" w:hAnsi="Century Gothic"/>
          <w:sz w:val="28"/>
        </w:rPr>
        <w:tab/>
      </w:r>
      <w:r w:rsidR="006353E6">
        <w:rPr>
          <w:rFonts w:ascii="Century Gothic" w:hAnsi="Century Gothic"/>
          <w:sz w:val="28"/>
        </w:rPr>
        <w:tab/>
      </w:r>
      <w:r w:rsidRPr="006353E6">
        <w:rPr>
          <w:rFonts w:ascii="Century Gothic" w:hAnsi="Century Gothic"/>
          <w:sz w:val="28"/>
        </w:rPr>
        <w:t>Salimu, Counsel for the Applicant</w:t>
      </w:r>
    </w:p>
    <w:p w:rsidR="00D70386" w:rsidRPr="006353E6" w:rsidRDefault="00D70386" w:rsidP="006353E6">
      <w:pPr>
        <w:pStyle w:val="NoSpacing"/>
        <w:rPr>
          <w:rFonts w:ascii="Century Gothic" w:hAnsi="Century Gothic"/>
          <w:sz w:val="28"/>
        </w:rPr>
      </w:pPr>
      <w:r w:rsidRPr="006353E6">
        <w:rPr>
          <w:rFonts w:ascii="Century Gothic" w:hAnsi="Century Gothic"/>
          <w:sz w:val="28"/>
        </w:rPr>
        <w:tab/>
      </w:r>
      <w:r w:rsidR="006353E6">
        <w:rPr>
          <w:rFonts w:ascii="Century Gothic" w:hAnsi="Century Gothic"/>
          <w:sz w:val="28"/>
        </w:rPr>
        <w:tab/>
      </w:r>
      <w:r w:rsidR="006353E6" w:rsidRPr="006353E6">
        <w:rPr>
          <w:rFonts w:ascii="Century Gothic" w:hAnsi="Century Gothic"/>
          <w:sz w:val="28"/>
        </w:rPr>
        <w:t>Collin Chitsime, Counsel for the Respondent</w:t>
      </w:r>
    </w:p>
    <w:p w:rsidR="006353E6" w:rsidRPr="006353E6" w:rsidRDefault="006353E6" w:rsidP="006353E6">
      <w:pPr>
        <w:pStyle w:val="NoSpacing"/>
        <w:rPr>
          <w:rFonts w:ascii="Century Gothic" w:hAnsi="Century Gothic"/>
          <w:sz w:val="28"/>
        </w:rPr>
      </w:pPr>
      <w:r w:rsidRPr="006353E6">
        <w:rPr>
          <w:rFonts w:ascii="Century Gothic" w:hAnsi="Century Gothic"/>
          <w:sz w:val="28"/>
        </w:rPr>
        <w:tab/>
      </w:r>
      <w:r>
        <w:rPr>
          <w:rFonts w:ascii="Century Gothic" w:hAnsi="Century Gothic"/>
          <w:sz w:val="28"/>
        </w:rPr>
        <w:tab/>
      </w:r>
      <w:r w:rsidRPr="006353E6">
        <w:rPr>
          <w:rFonts w:ascii="Century Gothic" w:hAnsi="Century Gothic"/>
          <w:sz w:val="28"/>
        </w:rPr>
        <w:t>Mthunzi (Mrs), Official Interpreter and Recording Officer</w:t>
      </w:r>
    </w:p>
    <w:p w:rsidR="006353E6" w:rsidRDefault="006353E6" w:rsidP="006353E6">
      <w:pPr>
        <w:pStyle w:val="NoSpacing"/>
      </w:pPr>
      <w:r w:rsidRPr="006353E6">
        <w:rPr>
          <w:rFonts w:ascii="Century Gothic" w:hAnsi="Century Gothic"/>
          <w:sz w:val="28"/>
        </w:rPr>
        <w:tab/>
      </w:r>
      <w:r>
        <w:rPr>
          <w:rFonts w:ascii="Century Gothic" w:hAnsi="Century Gothic"/>
          <w:sz w:val="28"/>
        </w:rPr>
        <w:tab/>
      </w:r>
      <w:r w:rsidRPr="006353E6">
        <w:rPr>
          <w:rFonts w:ascii="Century Gothic" w:hAnsi="Century Gothic"/>
          <w:sz w:val="28"/>
        </w:rPr>
        <w:t>Mwafulirwa (Mrs), Principal Personal Secretary</w:t>
      </w:r>
    </w:p>
    <w:p w:rsidR="006353E6" w:rsidRPr="007D5E50" w:rsidRDefault="006353E6" w:rsidP="008F613B">
      <w:pPr>
        <w:jc w:val="both"/>
        <w:rPr>
          <w:b/>
          <w:sz w:val="28"/>
          <w:szCs w:val="36"/>
          <w:u w:val="single"/>
        </w:rPr>
      </w:pPr>
    </w:p>
    <w:p w:rsidR="006353E6" w:rsidRPr="007D5E50" w:rsidRDefault="006353E6" w:rsidP="006353E6">
      <w:pPr>
        <w:jc w:val="center"/>
        <w:rPr>
          <w:b/>
          <w:sz w:val="28"/>
          <w:szCs w:val="36"/>
          <w:u w:val="single"/>
        </w:rPr>
      </w:pPr>
      <w:r w:rsidRPr="007D5E50">
        <w:rPr>
          <w:b/>
          <w:sz w:val="28"/>
          <w:szCs w:val="36"/>
          <w:u w:val="single"/>
        </w:rPr>
        <w:t>RULING</w:t>
      </w:r>
    </w:p>
    <w:p w:rsidR="00EB5797" w:rsidRPr="007D5E50" w:rsidRDefault="00EB5797" w:rsidP="007D5E50">
      <w:pPr>
        <w:spacing w:line="240" w:lineRule="auto"/>
        <w:jc w:val="both"/>
        <w:rPr>
          <w:rFonts w:ascii="Century Gothic" w:hAnsi="Century Gothic"/>
          <w:sz w:val="28"/>
          <w:szCs w:val="36"/>
        </w:rPr>
      </w:pPr>
      <w:r w:rsidRPr="007D5E50">
        <w:rPr>
          <w:rFonts w:ascii="Century Gothic" w:hAnsi="Century Gothic"/>
          <w:sz w:val="28"/>
          <w:szCs w:val="36"/>
        </w:rPr>
        <w:t xml:space="preserve">This matter </w:t>
      </w:r>
      <w:r w:rsidR="00C31D99" w:rsidRPr="007D5E50">
        <w:rPr>
          <w:rFonts w:ascii="Century Gothic" w:hAnsi="Century Gothic"/>
          <w:sz w:val="28"/>
          <w:szCs w:val="36"/>
        </w:rPr>
        <w:t xml:space="preserve">was </w:t>
      </w:r>
      <w:r w:rsidR="00232B62" w:rsidRPr="007D5E50">
        <w:rPr>
          <w:rFonts w:ascii="Century Gothic" w:hAnsi="Century Gothic"/>
          <w:sz w:val="28"/>
          <w:szCs w:val="36"/>
        </w:rPr>
        <w:t>heard</w:t>
      </w:r>
      <w:r w:rsidR="00C31D99" w:rsidRPr="007D5E50">
        <w:rPr>
          <w:rFonts w:ascii="Century Gothic" w:hAnsi="Century Gothic"/>
          <w:sz w:val="28"/>
          <w:szCs w:val="36"/>
        </w:rPr>
        <w:t xml:space="preserve"> a few months back.  </w:t>
      </w:r>
      <w:r w:rsidRPr="007D5E50">
        <w:rPr>
          <w:rFonts w:ascii="Century Gothic" w:hAnsi="Century Gothic"/>
          <w:sz w:val="28"/>
          <w:szCs w:val="36"/>
        </w:rPr>
        <w:t>I have taken much longer to invit</w:t>
      </w:r>
      <w:r w:rsidR="00B538A5" w:rsidRPr="007D5E50">
        <w:rPr>
          <w:rFonts w:ascii="Century Gothic" w:hAnsi="Century Gothic"/>
          <w:sz w:val="28"/>
          <w:szCs w:val="36"/>
        </w:rPr>
        <w:t>e the parties back before me tha</w:t>
      </w:r>
      <w:r w:rsidRPr="007D5E50">
        <w:rPr>
          <w:rFonts w:ascii="Century Gothic" w:hAnsi="Century Gothic"/>
          <w:sz w:val="28"/>
          <w:szCs w:val="36"/>
        </w:rPr>
        <w:t>n would ordinarily be the case with an urgent application as this one is</w:t>
      </w:r>
      <w:r w:rsidR="00B538A5" w:rsidRPr="007D5E50">
        <w:rPr>
          <w:rFonts w:ascii="Century Gothic" w:hAnsi="Century Gothic"/>
          <w:sz w:val="28"/>
          <w:szCs w:val="36"/>
        </w:rPr>
        <w:t>.</w:t>
      </w:r>
      <w:r w:rsidRPr="007D5E50">
        <w:rPr>
          <w:rFonts w:ascii="Century Gothic" w:hAnsi="Century Gothic"/>
          <w:sz w:val="28"/>
          <w:szCs w:val="36"/>
        </w:rPr>
        <w:t xml:space="preserve">  I realise that the delay in getting back to the parties is in itself a contradiction in terms in a matter where what is in issue is about delay in the prosecution of the Applicants.</w:t>
      </w:r>
    </w:p>
    <w:p w:rsidR="00025559" w:rsidRPr="007D5E50" w:rsidRDefault="00072A5B" w:rsidP="007D5E50">
      <w:pPr>
        <w:spacing w:line="240" w:lineRule="auto"/>
        <w:jc w:val="both"/>
        <w:rPr>
          <w:rFonts w:ascii="Century Gothic" w:hAnsi="Century Gothic"/>
          <w:sz w:val="28"/>
          <w:szCs w:val="36"/>
        </w:rPr>
      </w:pPr>
      <w:r w:rsidRPr="007D5E50">
        <w:rPr>
          <w:rFonts w:ascii="Century Gothic" w:hAnsi="Century Gothic"/>
          <w:sz w:val="28"/>
          <w:szCs w:val="36"/>
        </w:rPr>
        <w:lastRenderedPageBreak/>
        <w:t xml:space="preserve">What has caused me to take a while is the peculiar </w:t>
      </w:r>
      <w:r w:rsidR="00C31D99" w:rsidRPr="007D5E50">
        <w:rPr>
          <w:rFonts w:ascii="Century Gothic" w:hAnsi="Century Gothic"/>
          <w:sz w:val="28"/>
          <w:szCs w:val="36"/>
        </w:rPr>
        <w:t xml:space="preserve">and unusual </w:t>
      </w:r>
      <w:r w:rsidRPr="007D5E50">
        <w:rPr>
          <w:rFonts w:ascii="Century Gothic" w:hAnsi="Century Gothic"/>
          <w:sz w:val="28"/>
          <w:szCs w:val="36"/>
        </w:rPr>
        <w:t xml:space="preserve">situation I find myself on account of the background of the case. </w:t>
      </w:r>
      <w:r w:rsidR="00C31D99" w:rsidRPr="007D5E50">
        <w:rPr>
          <w:rFonts w:ascii="Century Gothic" w:hAnsi="Century Gothic"/>
          <w:sz w:val="28"/>
          <w:szCs w:val="36"/>
        </w:rPr>
        <w:t xml:space="preserve">  I need</w:t>
      </w:r>
      <w:r w:rsidR="00232B62" w:rsidRPr="007D5E50">
        <w:rPr>
          <w:rFonts w:ascii="Century Gothic" w:hAnsi="Century Gothic"/>
          <w:sz w:val="28"/>
          <w:szCs w:val="36"/>
        </w:rPr>
        <w:t>ed</w:t>
      </w:r>
      <w:r w:rsidR="00C31D99" w:rsidRPr="007D5E50">
        <w:rPr>
          <w:rFonts w:ascii="Century Gothic" w:hAnsi="Century Gothic"/>
          <w:sz w:val="28"/>
          <w:szCs w:val="36"/>
        </w:rPr>
        <w:t xml:space="preserve"> to reflect on the matter much more earnestly than ordinarily.</w:t>
      </w:r>
      <w:r w:rsidRPr="007D5E50">
        <w:rPr>
          <w:rFonts w:ascii="Century Gothic" w:hAnsi="Century Gothic"/>
          <w:sz w:val="28"/>
          <w:szCs w:val="36"/>
        </w:rPr>
        <w:t xml:space="preserve"> The events leading to the arrest and the criminal charges against the Applicants are partly as a result of findings o</w:t>
      </w:r>
      <w:r w:rsidR="006200D9" w:rsidRPr="007D5E50">
        <w:rPr>
          <w:rFonts w:ascii="Century Gothic" w:hAnsi="Century Gothic"/>
          <w:sz w:val="28"/>
          <w:szCs w:val="36"/>
        </w:rPr>
        <w:t>f</w:t>
      </w:r>
      <w:r w:rsidRPr="007D5E50">
        <w:rPr>
          <w:rFonts w:ascii="Century Gothic" w:hAnsi="Century Gothic"/>
          <w:sz w:val="28"/>
          <w:szCs w:val="36"/>
        </w:rPr>
        <w:t xml:space="preserve"> a “Commission of Inquiry into the Death of the Late Robert Chasowa who was a student of the Malawi Polytechnic, a constitu</w:t>
      </w:r>
      <w:r w:rsidR="00B538A5" w:rsidRPr="007D5E50">
        <w:rPr>
          <w:rFonts w:ascii="Century Gothic" w:hAnsi="Century Gothic"/>
          <w:sz w:val="28"/>
          <w:szCs w:val="36"/>
        </w:rPr>
        <w:t>ent C</w:t>
      </w:r>
      <w:r w:rsidRPr="007D5E50">
        <w:rPr>
          <w:rFonts w:ascii="Century Gothic" w:hAnsi="Century Gothic"/>
          <w:sz w:val="28"/>
          <w:szCs w:val="36"/>
        </w:rPr>
        <w:t xml:space="preserve">ollege of the </w:t>
      </w:r>
      <w:r w:rsidR="0067288D" w:rsidRPr="007D5E50">
        <w:rPr>
          <w:rFonts w:ascii="Century Gothic" w:hAnsi="Century Gothic"/>
          <w:sz w:val="28"/>
          <w:szCs w:val="36"/>
        </w:rPr>
        <w:t>University of Malawi.  T</w:t>
      </w:r>
      <w:r w:rsidR="00BA54EF" w:rsidRPr="007D5E50">
        <w:rPr>
          <w:rFonts w:ascii="Century Gothic" w:hAnsi="Century Gothic"/>
          <w:sz w:val="28"/>
          <w:szCs w:val="36"/>
        </w:rPr>
        <w:t>he</w:t>
      </w:r>
      <w:r w:rsidR="0067288D" w:rsidRPr="007D5E50">
        <w:rPr>
          <w:rFonts w:ascii="Century Gothic" w:hAnsi="Century Gothic"/>
          <w:sz w:val="28"/>
          <w:szCs w:val="36"/>
        </w:rPr>
        <w:t xml:space="preserve"> Commission of Inquiry was chaired by Your</w:t>
      </w:r>
      <w:r w:rsidR="00B538A5" w:rsidRPr="007D5E50">
        <w:rPr>
          <w:rFonts w:ascii="Century Gothic" w:hAnsi="Century Gothic"/>
          <w:sz w:val="28"/>
          <w:szCs w:val="36"/>
        </w:rPr>
        <w:t>s</w:t>
      </w:r>
      <w:r w:rsidR="0067288D" w:rsidRPr="007D5E50">
        <w:rPr>
          <w:rFonts w:ascii="Century Gothic" w:hAnsi="Century Gothic"/>
          <w:sz w:val="28"/>
          <w:szCs w:val="36"/>
        </w:rPr>
        <w:t xml:space="preserve"> Truly.</w:t>
      </w:r>
    </w:p>
    <w:p w:rsidR="0067288D" w:rsidRPr="007D5E50" w:rsidRDefault="0067288D" w:rsidP="007D5E50">
      <w:pPr>
        <w:spacing w:line="240" w:lineRule="auto"/>
        <w:jc w:val="both"/>
        <w:rPr>
          <w:rFonts w:ascii="Century Gothic" w:hAnsi="Century Gothic"/>
          <w:sz w:val="28"/>
          <w:szCs w:val="36"/>
        </w:rPr>
      </w:pPr>
      <w:r w:rsidRPr="007D5E50">
        <w:rPr>
          <w:rFonts w:ascii="Century Gothic" w:hAnsi="Century Gothic"/>
          <w:sz w:val="28"/>
          <w:szCs w:val="36"/>
        </w:rPr>
        <w:t>The case is before me, from the court below</w:t>
      </w:r>
      <w:r w:rsidR="00232B62" w:rsidRPr="007D5E50">
        <w:rPr>
          <w:rFonts w:ascii="Century Gothic" w:hAnsi="Century Gothic"/>
          <w:sz w:val="28"/>
          <w:szCs w:val="36"/>
        </w:rPr>
        <w:t>,</w:t>
      </w:r>
      <w:r w:rsidRPr="007D5E50">
        <w:rPr>
          <w:rFonts w:ascii="Century Gothic" w:hAnsi="Century Gothic"/>
          <w:sz w:val="28"/>
          <w:szCs w:val="36"/>
        </w:rPr>
        <w:t xml:space="preserve"> </w:t>
      </w:r>
      <w:r w:rsidR="00C31D99" w:rsidRPr="007D5E50">
        <w:rPr>
          <w:rFonts w:ascii="Century Gothic" w:hAnsi="Century Gothic"/>
          <w:sz w:val="28"/>
          <w:szCs w:val="36"/>
        </w:rPr>
        <w:t>seeking</w:t>
      </w:r>
      <w:r w:rsidRPr="007D5E50">
        <w:rPr>
          <w:rFonts w:ascii="Century Gothic" w:hAnsi="Century Gothic"/>
          <w:sz w:val="28"/>
          <w:szCs w:val="36"/>
        </w:rPr>
        <w:t xml:space="preserve"> referral pursuant to Section 9(2) and (3) of the Courts Act.  Section 9(2) provides that every proceeding in the High Court and all business arising thereout, if it expressly and substantively relates to, or concerns the interpretation or application of the provisions of the Constitution, shall be heard and disposed of by or before not less than th</w:t>
      </w:r>
      <w:r w:rsidR="00D467DD" w:rsidRPr="007D5E50">
        <w:rPr>
          <w:rFonts w:ascii="Century Gothic" w:hAnsi="Century Gothic"/>
          <w:sz w:val="28"/>
          <w:szCs w:val="36"/>
        </w:rPr>
        <w:t>re</w:t>
      </w:r>
      <w:r w:rsidRPr="007D5E50">
        <w:rPr>
          <w:rFonts w:ascii="Century Gothic" w:hAnsi="Century Gothic"/>
          <w:sz w:val="28"/>
          <w:szCs w:val="36"/>
        </w:rPr>
        <w:t>e judges.</w:t>
      </w:r>
    </w:p>
    <w:p w:rsidR="0067288D" w:rsidRPr="007D5E50" w:rsidRDefault="0067288D" w:rsidP="007D5E50">
      <w:pPr>
        <w:spacing w:line="240" w:lineRule="auto"/>
        <w:jc w:val="both"/>
        <w:rPr>
          <w:rFonts w:ascii="Century Gothic" w:hAnsi="Century Gothic"/>
          <w:sz w:val="28"/>
          <w:szCs w:val="36"/>
        </w:rPr>
      </w:pPr>
      <w:r w:rsidRPr="007D5E50">
        <w:rPr>
          <w:rFonts w:ascii="Century Gothic" w:hAnsi="Century Gothic"/>
          <w:sz w:val="28"/>
          <w:szCs w:val="36"/>
        </w:rPr>
        <w:t xml:space="preserve">More relevant to the </w:t>
      </w:r>
      <w:r w:rsidR="00C31D99" w:rsidRPr="007D5E50">
        <w:rPr>
          <w:rFonts w:ascii="Century Gothic" w:hAnsi="Century Gothic"/>
          <w:sz w:val="28"/>
          <w:szCs w:val="36"/>
        </w:rPr>
        <w:t xml:space="preserve">application </w:t>
      </w:r>
      <w:r w:rsidRPr="007D5E50">
        <w:rPr>
          <w:rFonts w:ascii="Century Gothic" w:hAnsi="Century Gothic"/>
          <w:sz w:val="28"/>
          <w:szCs w:val="36"/>
        </w:rPr>
        <w:t xml:space="preserve">at hand is Section 9(3) which provides that a certificate by the Chief Justice that a </w:t>
      </w:r>
      <w:r w:rsidR="006353D2" w:rsidRPr="007D5E50">
        <w:rPr>
          <w:rFonts w:ascii="Century Gothic" w:hAnsi="Century Gothic"/>
          <w:sz w:val="28"/>
          <w:szCs w:val="36"/>
        </w:rPr>
        <w:t>proceeding</w:t>
      </w:r>
      <w:r w:rsidRPr="007D5E50">
        <w:rPr>
          <w:rFonts w:ascii="Century Gothic" w:hAnsi="Century Gothic"/>
          <w:sz w:val="28"/>
          <w:szCs w:val="36"/>
        </w:rPr>
        <w:t xml:space="preserve"> is one which comes within</w:t>
      </w:r>
      <w:r w:rsidR="00BA54EF" w:rsidRPr="007D5E50">
        <w:rPr>
          <w:rFonts w:ascii="Century Gothic" w:hAnsi="Century Gothic"/>
          <w:sz w:val="28"/>
          <w:szCs w:val="36"/>
        </w:rPr>
        <w:t xml:space="preserve"> the ambit of subsection (2) shall be conclusive evidence to that effect.</w:t>
      </w:r>
    </w:p>
    <w:p w:rsidR="00BA54EF" w:rsidRPr="007D5E50" w:rsidRDefault="00BA54EF" w:rsidP="007D5E50">
      <w:pPr>
        <w:spacing w:line="240" w:lineRule="auto"/>
        <w:jc w:val="both"/>
        <w:rPr>
          <w:rFonts w:ascii="Century Gothic" w:hAnsi="Century Gothic"/>
          <w:sz w:val="28"/>
          <w:szCs w:val="36"/>
        </w:rPr>
      </w:pPr>
      <w:r w:rsidRPr="007D5E50">
        <w:rPr>
          <w:rFonts w:ascii="Century Gothic" w:hAnsi="Century Gothic"/>
          <w:sz w:val="28"/>
          <w:szCs w:val="36"/>
        </w:rPr>
        <w:t>I have no doubt that this far we can al</w:t>
      </w:r>
      <w:r w:rsidR="006200D9" w:rsidRPr="007D5E50">
        <w:rPr>
          <w:rFonts w:ascii="Century Gothic" w:hAnsi="Century Gothic"/>
          <w:sz w:val="28"/>
          <w:szCs w:val="36"/>
        </w:rPr>
        <w:t>ready</w:t>
      </w:r>
      <w:r w:rsidRPr="007D5E50">
        <w:rPr>
          <w:rFonts w:ascii="Century Gothic" w:hAnsi="Century Gothic"/>
          <w:sz w:val="28"/>
          <w:szCs w:val="36"/>
        </w:rPr>
        <w:t xml:space="preserve"> see the predicament in which I f</w:t>
      </w:r>
      <w:r w:rsidR="006200D9" w:rsidRPr="007D5E50">
        <w:rPr>
          <w:rFonts w:ascii="Century Gothic" w:hAnsi="Century Gothic"/>
          <w:sz w:val="28"/>
          <w:szCs w:val="36"/>
        </w:rPr>
        <w:t>i</w:t>
      </w:r>
      <w:r w:rsidRPr="007D5E50">
        <w:rPr>
          <w:rFonts w:ascii="Century Gothic" w:hAnsi="Century Gothic"/>
          <w:sz w:val="28"/>
          <w:szCs w:val="36"/>
        </w:rPr>
        <w:t xml:space="preserve">nd myself.  Having presided </w:t>
      </w:r>
      <w:r w:rsidR="006353D2" w:rsidRPr="007D5E50">
        <w:rPr>
          <w:rFonts w:ascii="Century Gothic" w:hAnsi="Century Gothic"/>
          <w:sz w:val="28"/>
          <w:szCs w:val="36"/>
        </w:rPr>
        <w:t xml:space="preserve">over the Commission of Inquiry </w:t>
      </w:r>
      <w:r w:rsidRPr="007D5E50">
        <w:rPr>
          <w:rFonts w:ascii="Century Gothic" w:hAnsi="Century Gothic"/>
          <w:sz w:val="28"/>
          <w:szCs w:val="36"/>
        </w:rPr>
        <w:t>I</w:t>
      </w:r>
      <w:r w:rsidR="006200D9" w:rsidRPr="007D5E50">
        <w:rPr>
          <w:rFonts w:ascii="Century Gothic" w:hAnsi="Century Gothic"/>
          <w:sz w:val="28"/>
          <w:szCs w:val="36"/>
        </w:rPr>
        <w:t>,</w:t>
      </w:r>
      <w:r w:rsidRPr="007D5E50">
        <w:rPr>
          <w:rFonts w:ascii="Century Gothic" w:hAnsi="Century Gothic"/>
          <w:sz w:val="28"/>
          <w:szCs w:val="36"/>
        </w:rPr>
        <w:t xml:space="preserve"> am obviously not suited to preside over the present application.  On the other hand</w:t>
      </w:r>
      <w:r w:rsidR="006200D9" w:rsidRPr="007D5E50">
        <w:rPr>
          <w:rFonts w:ascii="Century Gothic" w:hAnsi="Century Gothic"/>
          <w:sz w:val="28"/>
          <w:szCs w:val="36"/>
        </w:rPr>
        <w:t>,</w:t>
      </w:r>
      <w:r w:rsidRPr="007D5E50">
        <w:rPr>
          <w:rFonts w:ascii="Century Gothic" w:hAnsi="Century Gothic"/>
          <w:sz w:val="28"/>
          <w:szCs w:val="36"/>
        </w:rPr>
        <w:t xml:space="preserve"> the law, clear as it says, vests the responsibility of certification of referral only in the Chief Justice.</w:t>
      </w:r>
    </w:p>
    <w:p w:rsidR="00B538A5" w:rsidRPr="007D5E50" w:rsidRDefault="00BA54EF" w:rsidP="007D5E50">
      <w:pPr>
        <w:spacing w:line="240" w:lineRule="auto"/>
        <w:jc w:val="both"/>
        <w:rPr>
          <w:rFonts w:ascii="Century Gothic" w:hAnsi="Century Gothic"/>
          <w:sz w:val="28"/>
          <w:szCs w:val="36"/>
        </w:rPr>
      </w:pPr>
      <w:r w:rsidRPr="007D5E50">
        <w:rPr>
          <w:rFonts w:ascii="Century Gothic" w:hAnsi="Century Gothic"/>
          <w:sz w:val="28"/>
          <w:szCs w:val="36"/>
        </w:rPr>
        <w:t xml:space="preserve">Both </w:t>
      </w:r>
      <w:r w:rsidR="006353D2" w:rsidRPr="007D5E50">
        <w:rPr>
          <w:rFonts w:ascii="Century Gothic" w:hAnsi="Century Gothic"/>
          <w:sz w:val="28"/>
          <w:szCs w:val="36"/>
        </w:rPr>
        <w:t>counsels</w:t>
      </w:r>
      <w:r w:rsidRPr="007D5E50">
        <w:rPr>
          <w:rFonts w:ascii="Century Gothic" w:hAnsi="Century Gothic"/>
          <w:sz w:val="28"/>
          <w:szCs w:val="36"/>
        </w:rPr>
        <w:t xml:space="preserve"> for the Applicants and the Respondent are of the view </w:t>
      </w:r>
      <w:r w:rsidR="008C4150" w:rsidRPr="007D5E50">
        <w:rPr>
          <w:rFonts w:ascii="Century Gothic" w:hAnsi="Century Gothic"/>
          <w:sz w:val="28"/>
          <w:szCs w:val="36"/>
        </w:rPr>
        <w:t>that I could proceed to hear the matter.</w:t>
      </w:r>
      <w:r w:rsidR="006200D9" w:rsidRPr="007D5E50">
        <w:rPr>
          <w:rFonts w:ascii="Century Gothic" w:hAnsi="Century Gothic"/>
          <w:sz w:val="28"/>
          <w:szCs w:val="36"/>
        </w:rPr>
        <w:t xml:space="preserve">  </w:t>
      </w:r>
      <w:r w:rsidR="00B538A5" w:rsidRPr="007D5E50">
        <w:rPr>
          <w:rFonts w:ascii="Century Gothic" w:hAnsi="Century Gothic"/>
          <w:sz w:val="28"/>
          <w:szCs w:val="36"/>
        </w:rPr>
        <w:t>They acknowledge the conflict of interest but they believe that I c</w:t>
      </w:r>
      <w:r w:rsidR="006200D9" w:rsidRPr="007D5E50">
        <w:rPr>
          <w:rFonts w:ascii="Century Gothic" w:hAnsi="Century Gothic"/>
          <w:sz w:val="28"/>
          <w:szCs w:val="36"/>
        </w:rPr>
        <w:t>ould</w:t>
      </w:r>
      <w:r w:rsidR="00B538A5" w:rsidRPr="007D5E50">
        <w:rPr>
          <w:rFonts w:ascii="Century Gothic" w:hAnsi="Century Gothic"/>
          <w:sz w:val="28"/>
          <w:szCs w:val="36"/>
        </w:rPr>
        <w:t xml:space="preserve"> rise above the background and approach the case with a closed mind </w:t>
      </w:r>
      <w:r w:rsidR="006200D9" w:rsidRPr="007D5E50">
        <w:rPr>
          <w:rFonts w:ascii="Century Gothic" w:hAnsi="Century Gothic"/>
          <w:sz w:val="28"/>
          <w:szCs w:val="36"/>
        </w:rPr>
        <w:t>and with an objective view</w:t>
      </w:r>
      <w:r w:rsidR="00B538A5" w:rsidRPr="007D5E50">
        <w:rPr>
          <w:rFonts w:ascii="Century Gothic" w:hAnsi="Century Gothic"/>
          <w:sz w:val="28"/>
          <w:szCs w:val="36"/>
        </w:rPr>
        <w:t>.  I believe that counsel are well meaning in their submission.</w:t>
      </w:r>
    </w:p>
    <w:p w:rsidR="008C4150" w:rsidRPr="007D5E50" w:rsidRDefault="008C4150" w:rsidP="007D5E50">
      <w:pPr>
        <w:spacing w:line="240" w:lineRule="auto"/>
        <w:jc w:val="both"/>
        <w:rPr>
          <w:rFonts w:ascii="Century Gothic" w:hAnsi="Century Gothic"/>
          <w:sz w:val="28"/>
          <w:szCs w:val="36"/>
        </w:rPr>
      </w:pPr>
      <w:r w:rsidRPr="007D5E50">
        <w:rPr>
          <w:rFonts w:ascii="Century Gothic" w:hAnsi="Century Gothic"/>
          <w:sz w:val="28"/>
          <w:szCs w:val="36"/>
        </w:rPr>
        <w:t xml:space="preserve">As observed by the Swaziland Court of Appeal in </w:t>
      </w:r>
      <w:r w:rsidRPr="007D5E50">
        <w:rPr>
          <w:rFonts w:ascii="Century Gothic" w:hAnsi="Century Gothic"/>
          <w:b/>
          <w:sz w:val="28"/>
          <w:szCs w:val="36"/>
        </w:rPr>
        <w:t>Minister for Justice and Constitutional Affairs v Sapire (Civil Appeal No. 49/2001)</w:t>
      </w:r>
      <w:r w:rsidRPr="007D5E50">
        <w:rPr>
          <w:rFonts w:ascii="Century Gothic" w:hAnsi="Century Gothic"/>
          <w:sz w:val="28"/>
          <w:szCs w:val="36"/>
        </w:rPr>
        <w:t>, the  law will not suppose a possibility of bias in a judge who is sworn to administer</w:t>
      </w:r>
      <w:r w:rsidR="006200D9" w:rsidRPr="007D5E50">
        <w:rPr>
          <w:rFonts w:ascii="Century Gothic" w:hAnsi="Century Gothic"/>
          <w:sz w:val="28"/>
          <w:szCs w:val="36"/>
        </w:rPr>
        <w:t xml:space="preserve"> justice without</w:t>
      </w:r>
      <w:r w:rsidRPr="007D5E50">
        <w:rPr>
          <w:rFonts w:ascii="Century Gothic" w:hAnsi="Century Gothic"/>
          <w:sz w:val="28"/>
          <w:szCs w:val="36"/>
        </w:rPr>
        <w:t xml:space="preserve"> fear or favour and whose authority greatly depends upon that presumption and </w:t>
      </w:r>
      <w:r w:rsidRPr="007D5E50">
        <w:rPr>
          <w:rFonts w:ascii="Century Gothic" w:hAnsi="Century Gothic"/>
          <w:sz w:val="28"/>
          <w:szCs w:val="36"/>
        </w:rPr>
        <w:lastRenderedPageBreak/>
        <w:t>idea.  That</w:t>
      </w:r>
      <w:r w:rsidR="006353D2" w:rsidRPr="007D5E50">
        <w:rPr>
          <w:rFonts w:ascii="Century Gothic" w:hAnsi="Century Gothic"/>
          <w:sz w:val="28"/>
          <w:szCs w:val="36"/>
        </w:rPr>
        <w:t xml:space="preserve"> is</w:t>
      </w:r>
      <w:r w:rsidRPr="007D5E50">
        <w:rPr>
          <w:rFonts w:ascii="Century Gothic" w:hAnsi="Century Gothic"/>
          <w:sz w:val="28"/>
          <w:szCs w:val="36"/>
        </w:rPr>
        <w:t xml:space="preserve"> the reason why the threshold for a successful allegation </w:t>
      </w:r>
      <w:r w:rsidR="003F7283" w:rsidRPr="007D5E50">
        <w:rPr>
          <w:rFonts w:ascii="Century Gothic" w:hAnsi="Century Gothic"/>
          <w:sz w:val="28"/>
          <w:szCs w:val="36"/>
        </w:rPr>
        <w:t>of perceived judicial bias is high.</w:t>
      </w:r>
    </w:p>
    <w:p w:rsidR="003F7283" w:rsidRPr="007D5E50" w:rsidRDefault="003F7283" w:rsidP="007D5E50">
      <w:pPr>
        <w:spacing w:line="240" w:lineRule="auto"/>
        <w:jc w:val="both"/>
        <w:rPr>
          <w:rFonts w:ascii="Century Gothic" w:hAnsi="Century Gothic"/>
          <w:sz w:val="28"/>
          <w:szCs w:val="36"/>
        </w:rPr>
      </w:pPr>
      <w:r w:rsidRPr="007D5E50">
        <w:rPr>
          <w:rFonts w:ascii="Century Gothic" w:hAnsi="Century Gothic"/>
          <w:sz w:val="28"/>
          <w:szCs w:val="36"/>
        </w:rPr>
        <w:t>Much as this is the threshold</w:t>
      </w:r>
      <w:r w:rsidR="006200D9" w:rsidRPr="007D5E50">
        <w:rPr>
          <w:rFonts w:ascii="Century Gothic" w:hAnsi="Century Gothic"/>
          <w:sz w:val="28"/>
          <w:szCs w:val="36"/>
        </w:rPr>
        <w:t>,</w:t>
      </w:r>
      <w:r w:rsidRPr="007D5E50">
        <w:rPr>
          <w:rFonts w:ascii="Century Gothic" w:hAnsi="Century Gothic"/>
          <w:sz w:val="28"/>
          <w:szCs w:val="36"/>
        </w:rPr>
        <w:t xml:space="preserve"> the presumption</w:t>
      </w:r>
      <w:r w:rsidR="00306523" w:rsidRPr="007D5E50">
        <w:rPr>
          <w:rFonts w:ascii="Century Gothic" w:hAnsi="Century Gothic"/>
          <w:sz w:val="28"/>
          <w:szCs w:val="36"/>
        </w:rPr>
        <w:t xml:space="preserve"> can be displaced with cogent evidence that demonstrates that something the judge has done gives rise to a reasonable apprehension </w:t>
      </w:r>
      <w:r w:rsidR="00C31D99" w:rsidRPr="007D5E50">
        <w:rPr>
          <w:rFonts w:ascii="Century Gothic" w:hAnsi="Century Gothic"/>
          <w:sz w:val="28"/>
          <w:szCs w:val="36"/>
        </w:rPr>
        <w:t>of</w:t>
      </w:r>
      <w:r w:rsidR="00306523" w:rsidRPr="007D5E50">
        <w:rPr>
          <w:rFonts w:ascii="Century Gothic" w:hAnsi="Century Gothic"/>
          <w:sz w:val="28"/>
          <w:szCs w:val="36"/>
        </w:rPr>
        <w:t xml:space="preserve"> bias.  See </w:t>
      </w:r>
      <w:r w:rsidR="00306523" w:rsidRPr="007D5E50">
        <w:rPr>
          <w:rFonts w:ascii="Century Gothic" w:hAnsi="Century Gothic"/>
          <w:b/>
          <w:sz w:val="28"/>
          <w:szCs w:val="36"/>
        </w:rPr>
        <w:t>R v S(RD) (1997) 118 cc (3)(d).</w:t>
      </w:r>
    </w:p>
    <w:p w:rsidR="00306523" w:rsidRPr="007D5E50" w:rsidRDefault="00306523" w:rsidP="007D5E50">
      <w:pPr>
        <w:spacing w:line="240" w:lineRule="auto"/>
        <w:jc w:val="both"/>
        <w:rPr>
          <w:rFonts w:ascii="Century Gothic" w:hAnsi="Century Gothic"/>
          <w:sz w:val="28"/>
          <w:szCs w:val="36"/>
        </w:rPr>
      </w:pPr>
      <w:r w:rsidRPr="007D5E50">
        <w:rPr>
          <w:rFonts w:ascii="Century Gothic" w:hAnsi="Century Gothic"/>
          <w:sz w:val="28"/>
          <w:szCs w:val="36"/>
        </w:rPr>
        <w:t xml:space="preserve">In </w:t>
      </w:r>
      <w:r w:rsidRPr="007D5E50">
        <w:rPr>
          <w:rFonts w:ascii="Century Gothic" w:hAnsi="Century Gothic"/>
          <w:b/>
          <w:sz w:val="28"/>
          <w:szCs w:val="36"/>
        </w:rPr>
        <w:t>SARFU and Others v President of South Africa and Others 1999 (A) SA I47</w:t>
      </w:r>
      <w:r w:rsidRPr="007D5E50">
        <w:rPr>
          <w:rFonts w:ascii="Century Gothic" w:hAnsi="Century Gothic"/>
          <w:sz w:val="28"/>
          <w:szCs w:val="36"/>
        </w:rPr>
        <w:t xml:space="preserve"> it was stated:</w:t>
      </w:r>
    </w:p>
    <w:p w:rsidR="0089171D" w:rsidRPr="007D5E50" w:rsidRDefault="0089171D" w:rsidP="007D5E50">
      <w:pPr>
        <w:spacing w:line="240" w:lineRule="auto"/>
        <w:ind w:left="851" w:right="851"/>
        <w:jc w:val="both"/>
        <w:rPr>
          <w:rFonts w:ascii="Century Gothic" w:hAnsi="Century Gothic"/>
          <w:sz w:val="24"/>
          <w:szCs w:val="36"/>
        </w:rPr>
      </w:pPr>
      <w:r w:rsidRPr="007D5E50">
        <w:rPr>
          <w:rFonts w:ascii="Century Gothic" w:hAnsi="Century Gothic"/>
          <w:sz w:val="24"/>
          <w:szCs w:val="36"/>
        </w:rPr>
        <w:t>“The question is whether a reasonable, objective and informed person would</w:t>
      </w:r>
      <w:r w:rsidR="00C31D99" w:rsidRPr="007D5E50">
        <w:rPr>
          <w:rFonts w:ascii="Century Gothic" w:hAnsi="Century Gothic"/>
          <w:sz w:val="24"/>
          <w:szCs w:val="36"/>
        </w:rPr>
        <w:t>,</w:t>
      </w:r>
      <w:r w:rsidRPr="007D5E50">
        <w:rPr>
          <w:rFonts w:ascii="Century Gothic" w:hAnsi="Century Gothic"/>
          <w:sz w:val="24"/>
          <w:szCs w:val="36"/>
        </w:rPr>
        <w:t xml:space="preserve"> on the correct facts</w:t>
      </w:r>
      <w:r w:rsidR="00C31D99" w:rsidRPr="007D5E50">
        <w:rPr>
          <w:rFonts w:ascii="Century Gothic" w:hAnsi="Century Gothic"/>
          <w:sz w:val="24"/>
          <w:szCs w:val="36"/>
        </w:rPr>
        <w:t>,</w:t>
      </w:r>
      <w:r w:rsidRPr="007D5E50">
        <w:rPr>
          <w:rFonts w:ascii="Century Gothic" w:hAnsi="Century Gothic"/>
          <w:sz w:val="24"/>
          <w:szCs w:val="36"/>
        </w:rPr>
        <w:t xml:space="preserve"> reasonably apprehend that the Judge has not or will not bring an impartial mind to bear on the adjudication of the case</w:t>
      </w:r>
      <w:r w:rsidR="006200D9" w:rsidRPr="007D5E50">
        <w:rPr>
          <w:rFonts w:ascii="Century Gothic" w:hAnsi="Century Gothic"/>
          <w:sz w:val="24"/>
          <w:szCs w:val="36"/>
        </w:rPr>
        <w:t>,</w:t>
      </w:r>
      <w:r w:rsidRPr="007D5E50">
        <w:rPr>
          <w:rFonts w:ascii="Century Gothic" w:hAnsi="Century Gothic"/>
          <w:sz w:val="24"/>
          <w:szCs w:val="36"/>
        </w:rPr>
        <w:t xml:space="preserve"> that is</w:t>
      </w:r>
      <w:r w:rsidR="006200D9" w:rsidRPr="007D5E50">
        <w:rPr>
          <w:rFonts w:ascii="Century Gothic" w:hAnsi="Century Gothic"/>
          <w:sz w:val="24"/>
          <w:szCs w:val="36"/>
        </w:rPr>
        <w:t>,</w:t>
      </w:r>
      <w:r w:rsidRPr="007D5E50">
        <w:rPr>
          <w:rFonts w:ascii="Century Gothic" w:hAnsi="Century Gothic"/>
          <w:sz w:val="24"/>
          <w:szCs w:val="36"/>
        </w:rPr>
        <w:t xml:space="preserve"> a mind open</w:t>
      </w:r>
      <w:r w:rsidR="006200D9" w:rsidRPr="007D5E50">
        <w:rPr>
          <w:rFonts w:ascii="Century Gothic" w:hAnsi="Century Gothic"/>
          <w:sz w:val="24"/>
          <w:szCs w:val="36"/>
        </w:rPr>
        <w:t xml:space="preserve"> to</w:t>
      </w:r>
      <w:r w:rsidRPr="007D5E50">
        <w:rPr>
          <w:rFonts w:ascii="Century Gothic" w:hAnsi="Century Gothic"/>
          <w:sz w:val="24"/>
          <w:szCs w:val="36"/>
        </w:rPr>
        <w:t xml:space="preserve"> persuasion by the evidence and the submissions of counsel.  The reasonableness of the apprehension must be assessed in the light of the oath of office taken by the Judges to</w:t>
      </w:r>
      <w:r w:rsidR="006200D9" w:rsidRPr="007D5E50">
        <w:rPr>
          <w:rFonts w:ascii="Century Gothic" w:hAnsi="Century Gothic"/>
          <w:sz w:val="24"/>
          <w:szCs w:val="36"/>
        </w:rPr>
        <w:t xml:space="preserve"> administer justice without fear or favour and their ability to carry out that oath by</w:t>
      </w:r>
      <w:r w:rsidRPr="007D5E50">
        <w:rPr>
          <w:rFonts w:ascii="Century Gothic" w:hAnsi="Century Gothic"/>
          <w:sz w:val="24"/>
          <w:szCs w:val="36"/>
        </w:rPr>
        <w:t xml:space="preserve"> reason of their training and experience.  It must be assumed that they can disabuse their minds of any irrelevant personal beliefs or predispositions.  They must take into account the fact</w:t>
      </w:r>
      <w:r w:rsidR="00C31D99" w:rsidRPr="007D5E50">
        <w:rPr>
          <w:rFonts w:ascii="Century Gothic" w:hAnsi="Century Gothic"/>
          <w:sz w:val="24"/>
          <w:szCs w:val="36"/>
        </w:rPr>
        <w:t xml:space="preserve"> that</w:t>
      </w:r>
      <w:r w:rsidRPr="007D5E50">
        <w:rPr>
          <w:rFonts w:ascii="Century Gothic" w:hAnsi="Century Gothic"/>
          <w:sz w:val="24"/>
          <w:szCs w:val="36"/>
        </w:rPr>
        <w:t xml:space="preserve"> they have a duty to sit in any case in which they are not obliged to recuse themselves.  At the same time, it must never be forgotten that an impartial judge is a fundamental prerequisite for a fair trial and a judicial officer should not hesitate to recuse herself or himself if there are reasonable grounds on the part of a litigant for apprehending that the judicial officer, for whatever reasons, was not or will not be impartial.”</w:t>
      </w:r>
    </w:p>
    <w:p w:rsidR="00025559" w:rsidRPr="007D5E50" w:rsidRDefault="00025559" w:rsidP="007D5E50">
      <w:pPr>
        <w:spacing w:line="240" w:lineRule="auto"/>
        <w:jc w:val="both"/>
        <w:rPr>
          <w:rFonts w:ascii="Century Gothic" w:hAnsi="Century Gothic"/>
          <w:sz w:val="28"/>
          <w:szCs w:val="36"/>
        </w:rPr>
      </w:pPr>
      <w:r w:rsidRPr="007D5E50">
        <w:rPr>
          <w:rFonts w:ascii="Century Gothic" w:hAnsi="Century Gothic"/>
          <w:sz w:val="28"/>
          <w:szCs w:val="36"/>
        </w:rPr>
        <w:t>I</w:t>
      </w:r>
      <w:r w:rsidR="0089171D" w:rsidRPr="007D5E50">
        <w:rPr>
          <w:rFonts w:ascii="Century Gothic" w:hAnsi="Century Gothic"/>
          <w:sz w:val="28"/>
          <w:szCs w:val="36"/>
        </w:rPr>
        <w:t xml:space="preserve"> </w:t>
      </w:r>
      <w:r w:rsidRPr="007D5E50">
        <w:rPr>
          <w:rFonts w:ascii="Century Gothic" w:hAnsi="Century Gothic"/>
          <w:sz w:val="28"/>
          <w:szCs w:val="36"/>
        </w:rPr>
        <w:t xml:space="preserve">would agree that mere </w:t>
      </w:r>
      <w:r w:rsidR="00F36B87" w:rsidRPr="007D5E50">
        <w:rPr>
          <w:rFonts w:ascii="Century Gothic" w:hAnsi="Century Gothic"/>
          <w:sz w:val="28"/>
          <w:szCs w:val="36"/>
        </w:rPr>
        <w:t>apprehensiveness on</w:t>
      </w:r>
      <w:r w:rsidRPr="007D5E50">
        <w:rPr>
          <w:rFonts w:ascii="Century Gothic" w:hAnsi="Century Gothic"/>
          <w:sz w:val="28"/>
          <w:szCs w:val="36"/>
        </w:rPr>
        <w:t xml:space="preserve"> the part of a litigant that a judge will be biased, even a strongly and honestly felt anxiety</w:t>
      </w:r>
      <w:r w:rsidR="006200D9" w:rsidRPr="007D5E50">
        <w:rPr>
          <w:rFonts w:ascii="Century Gothic" w:hAnsi="Century Gothic"/>
          <w:sz w:val="28"/>
          <w:szCs w:val="36"/>
        </w:rPr>
        <w:t>,</w:t>
      </w:r>
      <w:r w:rsidRPr="007D5E50">
        <w:rPr>
          <w:rFonts w:ascii="Century Gothic" w:hAnsi="Century Gothic"/>
          <w:sz w:val="28"/>
          <w:szCs w:val="36"/>
        </w:rPr>
        <w:t xml:space="preserve"> is not enough.  The court must scrutinise the apprehension to determine whether it is to be regarded as reasonable, see </w:t>
      </w:r>
      <w:r w:rsidRPr="007D5E50">
        <w:rPr>
          <w:rFonts w:ascii="Century Gothic" w:hAnsi="Century Gothic"/>
          <w:b/>
          <w:sz w:val="28"/>
          <w:szCs w:val="36"/>
        </w:rPr>
        <w:t>Matapo and Others v Bhila No. and Others 2010(1)  ZLR32</w:t>
      </w:r>
      <w:r w:rsidRPr="007D5E50">
        <w:rPr>
          <w:rFonts w:ascii="Century Gothic" w:hAnsi="Century Gothic"/>
          <w:sz w:val="28"/>
          <w:szCs w:val="36"/>
        </w:rPr>
        <w:t>.</w:t>
      </w:r>
    </w:p>
    <w:p w:rsidR="00025559" w:rsidRPr="007D5E50" w:rsidRDefault="00025559" w:rsidP="007D5E50">
      <w:pPr>
        <w:spacing w:line="240" w:lineRule="auto"/>
        <w:jc w:val="both"/>
        <w:rPr>
          <w:rFonts w:ascii="Century Gothic" w:hAnsi="Century Gothic"/>
          <w:sz w:val="28"/>
          <w:szCs w:val="36"/>
        </w:rPr>
      </w:pPr>
      <w:r w:rsidRPr="007D5E50">
        <w:rPr>
          <w:rFonts w:ascii="Century Gothic" w:hAnsi="Century Gothic"/>
          <w:sz w:val="28"/>
          <w:szCs w:val="36"/>
        </w:rPr>
        <w:t xml:space="preserve">As I disclose earlier, the background and my involvement with events leading to this case are common place.  The recommendations that were made following the Commission of Inquiry are still vivid in the public domain.  While I could </w:t>
      </w:r>
      <w:r w:rsidR="006353E6" w:rsidRPr="007D5E50">
        <w:rPr>
          <w:rFonts w:ascii="Century Gothic" w:hAnsi="Century Gothic"/>
          <w:sz w:val="28"/>
          <w:szCs w:val="36"/>
        </w:rPr>
        <w:t>be c</w:t>
      </w:r>
      <w:r w:rsidRPr="007D5E50">
        <w:rPr>
          <w:rFonts w:ascii="Century Gothic" w:hAnsi="Century Gothic"/>
          <w:sz w:val="28"/>
          <w:szCs w:val="36"/>
        </w:rPr>
        <w:t xml:space="preserve">onvinced myself that I would live up to my oath of office to administer justice without fear, favour or prejudice, in accordance with the </w:t>
      </w:r>
      <w:r w:rsidR="006200D9" w:rsidRPr="007D5E50">
        <w:rPr>
          <w:rFonts w:ascii="Century Gothic" w:hAnsi="Century Gothic"/>
          <w:sz w:val="28"/>
          <w:szCs w:val="36"/>
        </w:rPr>
        <w:t>c</w:t>
      </w:r>
      <w:r w:rsidRPr="007D5E50">
        <w:rPr>
          <w:rFonts w:ascii="Century Gothic" w:hAnsi="Century Gothic"/>
          <w:sz w:val="28"/>
          <w:szCs w:val="36"/>
        </w:rPr>
        <w:t xml:space="preserve">onstitution and the law, it is less than likely that fair minded and informed observers, having </w:t>
      </w:r>
      <w:r w:rsidR="00AB4F7B" w:rsidRPr="007D5E50">
        <w:rPr>
          <w:rFonts w:ascii="Century Gothic" w:hAnsi="Century Gothic"/>
          <w:sz w:val="28"/>
          <w:szCs w:val="36"/>
        </w:rPr>
        <w:t xml:space="preserve">the facts and the </w:t>
      </w:r>
      <w:r w:rsidR="00AB4F7B" w:rsidRPr="007D5E50">
        <w:rPr>
          <w:rFonts w:ascii="Century Gothic" w:hAnsi="Century Gothic"/>
          <w:sz w:val="28"/>
          <w:szCs w:val="36"/>
        </w:rPr>
        <w:lastRenderedPageBreak/>
        <w:t>background of this matter</w:t>
      </w:r>
      <w:r w:rsidR="006200D9" w:rsidRPr="007D5E50">
        <w:rPr>
          <w:rFonts w:ascii="Century Gothic" w:hAnsi="Century Gothic"/>
          <w:sz w:val="28"/>
          <w:szCs w:val="36"/>
        </w:rPr>
        <w:t>,</w:t>
      </w:r>
      <w:r w:rsidR="00AB4F7B" w:rsidRPr="007D5E50">
        <w:rPr>
          <w:rFonts w:ascii="Century Gothic" w:hAnsi="Century Gothic"/>
          <w:sz w:val="28"/>
          <w:szCs w:val="36"/>
        </w:rPr>
        <w:t xml:space="preserve"> would c</w:t>
      </w:r>
      <w:r w:rsidR="00C57693" w:rsidRPr="007D5E50">
        <w:rPr>
          <w:rFonts w:ascii="Century Gothic" w:hAnsi="Century Gothic"/>
          <w:sz w:val="28"/>
          <w:szCs w:val="36"/>
        </w:rPr>
        <w:t>onclude</w:t>
      </w:r>
      <w:r w:rsidR="006200D9" w:rsidRPr="007D5E50">
        <w:rPr>
          <w:rFonts w:ascii="Century Gothic" w:hAnsi="Century Gothic"/>
          <w:sz w:val="28"/>
          <w:szCs w:val="36"/>
        </w:rPr>
        <w:t xml:space="preserve"> that</w:t>
      </w:r>
      <w:r w:rsidR="00C57693" w:rsidRPr="007D5E50">
        <w:rPr>
          <w:rFonts w:ascii="Century Gothic" w:hAnsi="Century Gothic"/>
          <w:sz w:val="28"/>
          <w:szCs w:val="36"/>
        </w:rPr>
        <w:t xml:space="preserve"> I proceeded without a real possibility of bias.  Even if I was </w:t>
      </w:r>
      <w:r w:rsidR="00BE1B16" w:rsidRPr="007D5E50">
        <w:rPr>
          <w:rFonts w:ascii="Century Gothic" w:hAnsi="Century Gothic"/>
          <w:sz w:val="28"/>
          <w:szCs w:val="36"/>
        </w:rPr>
        <w:t xml:space="preserve">as </w:t>
      </w:r>
      <w:r w:rsidR="00C57693" w:rsidRPr="007D5E50">
        <w:rPr>
          <w:rFonts w:ascii="Century Gothic" w:hAnsi="Century Gothic"/>
          <w:sz w:val="28"/>
          <w:szCs w:val="36"/>
        </w:rPr>
        <w:t>impartial</w:t>
      </w:r>
      <w:r w:rsidR="00232B62" w:rsidRPr="007D5E50">
        <w:rPr>
          <w:rFonts w:ascii="Century Gothic" w:hAnsi="Century Gothic"/>
          <w:sz w:val="28"/>
          <w:szCs w:val="36"/>
        </w:rPr>
        <w:t xml:space="preserve"> </w:t>
      </w:r>
      <w:r w:rsidR="00C57693" w:rsidRPr="007D5E50">
        <w:rPr>
          <w:rFonts w:ascii="Century Gothic" w:hAnsi="Century Gothic"/>
          <w:sz w:val="28"/>
          <w:szCs w:val="36"/>
        </w:rPr>
        <w:t>as</w:t>
      </w:r>
      <w:r w:rsidR="00232B62" w:rsidRPr="007D5E50">
        <w:rPr>
          <w:rFonts w:ascii="Century Gothic" w:hAnsi="Century Gothic"/>
          <w:sz w:val="28"/>
          <w:szCs w:val="36"/>
        </w:rPr>
        <w:t xml:space="preserve"> I</w:t>
      </w:r>
      <w:r w:rsidR="00C57693" w:rsidRPr="007D5E50">
        <w:rPr>
          <w:rFonts w:ascii="Century Gothic" w:hAnsi="Century Gothic"/>
          <w:sz w:val="28"/>
          <w:szCs w:val="36"/>
        </w:rPr>
        <w:t xml:space="preserve"> could be, nevertheless if fair minded persons would think, in the circumstances, there was a real livelihood of bias, I should give way.</w:t>
      </w:r>
    </w:p>
    <w:p w:rsidR="00C57693" w:rsidRPr="007D5E50" w:rsidRDefault="00BE1B16" w:rsidP="007D5E50">
      <w:pPr>
        <w:spacing w:line="240" w:lineRule="auto"/>
        <w:jc w:val="both"/>
        <w:rPr>
          <w:rFonts w:ascii="Century Gothic" w:hAnsi="Century Gothic"/>
          <w:sz w:val="28"/>
          <w:szCs w:val="36"/>
        </w:rPr>
      </w:pPr>
      <w:r w:rsidRPr="007D5E50">
        <w:rPr>
          <w:rFonts w:ascii="Century Gothic" w:hAnsi="Century Gothic"/>
          <w:sz w:val="28"/>
          <w:szCs w:val="36"/>
        </w:rPr>
        <w:t>On account of m</w:t>
      </w:r>
      <w:r w:rsidR="00C57693" w:rsidRPr="007D5E50">
        <w:rPr>
          <w:rFonts w:ascii="Century Gothic" w:hAnsi="Century Gothic"/>
          <w:sz w:val="28"/>
          <w:szCs w:val="36"/>
        </w:rPr>
        <w:t>y proximity and involvement with the events leading to this case, assessed against the oath of office that we take as Judges and in the desire to preserve public confidence in the independence, integrity and impartiality of our judicial system, it is</w:t>
      </w:r>
      <w:r w:rsidR="00AE38F5" w:rsidRPr="007D5E50">
        <w:rPr>
          <w:rFonts w:ascii="Century Gothic" w:hAnsi="Century Gothic"/>
          <w:sz w:val="28"/>
          <w:szCs w:val="36"/>
        </w:rPr>
        <w:t xml:space="preserve"> overriding</w:t>
      </w:r>
      <w:r w:rsidR="00C57693" w:rsidRPr="007D5E50">
        <w:rPr>
          <w:rFonts w:ascii="Century Gothic" w:hAnsi="Century Gothic"/>
          <w:sz w:val="28"/>
          <w:szCs w:val="36"/>
        </w:rPr>
        <w:t xml:space="preserve"> that my hands should be off this </w:t>
      </w:r>
      <w:r w:rsidRPr="007D5E50">
        <w:rPr>
          <w:rFonts w:ascii="Century Gothic" w:hAnsi="Century Gothic"/>
          <w:sz w:val="28"/>
          <w:szCs w:val="36"/>
        </w:rPr>
        <w:t>matter</w:t>
      </w:r>
      <w:r w:rsidR="00C57693" w:rsidRPr="007D5E50">
        <w:rPr>
          <w:rFonts w:ascii="Century Gothic" w:hAnsi="Century Gothic"/>
          <w:sz w:val="28"/>
          <w:szCs w:val="36"/>
        </w:rPr>
        <w:t>.</w:t>
      </w:r>
    </w:p>
    <w:p w:rsidR="00C57693" w:rsidRPr="007D5E50" w:rsidRDefault="00C57693" w:rsidP="007D5E50">
      <w:pPr>
        <w:spacing w:line="240" w:lineRule="auto"/>
        <w:jc w:val="both"/>
        <w:rPr>
          <w:rFonts w:ascii="Century Gothic" w:hAnsi="Century Gothic"/>
          <w:sz w:val="28"/>
          <w:szCs w:val="36"/>
        </w:rPr>
      </w:pPr>
      <w:r w:rsidRPr="007D5E50">
        <w:rPr>
          <w:rFonts w:ascii="Century Gothic" w:hAnsi="Century Gothic"/>
          <w:sz w:val="28"/>
          <w:szCs w:val="36"/>
        </w:rPr>
        <w:t xml:space="preserve">The conclusion I have reached obviously is serious cause for concern.  It would result in the Applicants’ </w:t>
      </w:r>
      <w:r w:rsidR="00BE1B16" w:rsidRPr="007D5E50">
        <w:rPr>
          <w:rFonts w:ascii="Century Gothic" w:hAnsi="Century Gothic"/>
          <w:sz w:val="28"/>
          <w:szCs w:val="36"/>
        </w:rPr>
        <w:t xml:space="preserve">case </w:t>
      </w:r>
      <w:r w:rsidRPr="007D5E50">
        <w:rPr>
          <w:rFonts w:ascii="Century Gothic" w:hAnsi="Century Gothic"/>
          <w:sz w:val="28"/>
          <w:szCs w:val="36"/>
        </w:rPr>
        <w:t>having no redress.  The law is clear that for a referral to proceed, there shall be certification by the Chief Justice.  The law does not designate any other person.</w:t>
      </w:r>
    </w:p>
    <w:p w:rsidR="00C57693" w:rsidRPr="007D5E50" w:rsidRDefault="00C57693" w:rsidP="007D5E50">
      <w:pPr>
        <w:spacing w:line="240" w:lineRule="auto"/>
        <w:jc w:val="both"/>
        <w:rPr>
          <w:rFonts w:ascii="Century Gothic" w:hAnsi="Century Gothic"/>
          <w:sz w:val="28"/>
          <w:szCs w:val="36"/>
        </w:rPr>
      </w:pPr>
      <w:r w:rsidRPr="007D5E50">
        <w:rPr>
          <w:rFonts w:ascii="Century Gothic" w:hAnsi="Century Gothic"/>
          <w:sz w:val="28"/>
          <w:szCs w:val="36"/>
        </w:rPr>
        <w:t xml:space="preserve">There are those that would say the duty of the courts is to interpret and give effect to legislation as given by the law giver.  That courts should be concerned only with the law as it is and not as it ought to be.  There are those who look beyond the confines of the law in order to give efficacy to the administration of justice in compelling situations.  In </w:t>
      </w:r>
      <w:r w:rsidRPr="007D5E50">
        <w:rPr>
          <w:rFonts w:ascii="Century Gothic" w:hAnsi="Century Gothic"/>
          <w:b/>
          <w:sz w:val="28"/>
          <w:szCs w:val="36"/>
        </w:rPr>
        <w:t xml:space="preserve">Re Residential Warranty Co. </w:t>
      </w:r>
      <w:r w:rsidR="009437DB" w:rsidRPr="007D5E50">
        <w:rPr>
          <w:rFonts w:ascii="Century Gothic" w:hAnsi="Century Gothic"/>
          <w:b/>
          <w:sz w:val="28"/>
          <w:szCs w:val="36"/>
        </w:rPr>
        <w:t>o</w:t>
      </w:r>
      <w:r w:rsidRPr="007D5E50">
        <w:rPr>
          <w:rFonts w:ascii="Century Gothic" w:hAnsi="Century Gothic"/>
          <w:b/>
          <w:sz w:val="28"/>
          <w:szCs w:val="36"/>
        </w:rPr>
        <w:t>f Canada Inc [2006] AJ. No. 1304 (CA)</w:t>
      </w:r>
      <w:r w:rsidRPr="007D5E50">
        <w:rPr>
          <w:rFonts w:ascii="Century Gothic" w:hAnsi="Century Gothic"/>
          <w:sz w:val="28"/>
          <w:szCs w:val="36"/>
        </w:rPr>
        <w:t xml:space="preserve"> the court advocated inherent jurisdiction </w:t>
      </w:r>
      <w:r w:rsidR="00AE38F5" w:rsidRPr="007D5E50">
        <w:rPr>
          <w:rFonts w:ascii="Century Gothic" w:hAnsi="Century Gothic"/>
          <w:sz w:val="28"/>
          <w:szCs w:val="36"/>
        </w:rPr>
        <w:t xml:space="preserve">of courts </w:t>
      </w:r>
      <w:r w:rsidRPr="007D5E50">
        <w:rPr>
          <w:rFonts w:ascii="Century Gothic" w:hAnsi="Century Gothic"/>
          <w:sz w:val="28"/>
          <w:szCs w:val="36"/>
        </w:rPr>
        <w:t>co-existing with statutory jurisdiction and said:</w:t>
      </w:r>
    </w:p>
    <w:p w:rsidR="009437DB" w:rsidRPr="007D5E50" w:rsidRDefault="009437DB" w:rsidP="007D5E50">
      <w:pPr>
        <w:spacing w:line="240" w:lineRule="auto"/>
        <w:ind w:left="851" w:right="851"/>
        <w:jc w:val="both"/>
        <w:rPr>
          <w:rFonts w:ascii="Century Gothic" w:hAnsi="Century Gothic"/>
          <w:sz w:val="24"/>
          <w:szCs w:val="36"/>
        </w:rPr>
      </w:pPr>
      <w:r w:rsidRPr="007D5E50">
        <w:rPr>
          <w:rFonts w:ascii="Century Gothic" w:hAnsi="Century Gothic"/>
          <w:sz w:val="24"/>
          <w:szCs w:val="36"/>
        </w:rPr>
        <w:t>“</w:t>
      </w:r>
      <w:r w:rsidR="00BD7870" w:rsidRPr="007D5E50">
        <w:rPr>
          <w:rFonts w:ascii="Century Gothic" w:hAnsi="Century Gothic"/>
          <w:sz w:val="24"/>
          <w:szCs w:val="36"/>
        </w:rPr>
        <w:t>..... a judge is not precluded by codification of law from invoking his inherent jurisdiction where the benefits of granting a particular remedy outweigh the detriment caused by its application.”</w:t>
      </w:r>
    </w:p>
    <w:p w:rsidR="007F61E4" w:rsidRPr="007D5E50" w:rsidRDefault="007F61E4" w:rsidP="007D5E50">
      <w:pPr>
        <w:spacing w:line="240" w:lineRule="auto"/>
        <w:rPr>
          <w:sz w:val="28"/>
        </w:rPr>
      </w:pPr>
      <w:r w:rsidRPr="007D5E50">
        <w:rPr>
          <w:sz w:val="28"/>
        </w:rPr>
        <w:t>In G. McG v D.V. (No. 2) [2000] 4 I.R. 1 Murray C. J.’s views were that:</w:t>
      </w:r>
    </w:p>
    <w:p w:rsidR="00BD7870" w:rsidRPr="007D5E50" w:rsidRDefault="00BD7870" w:rsidP="007D5E50">
      <w:pPr>
        <w:spacing w:line="240" w:lineRule="auto"/>
        <w:ind w:left="851" w:right="851"/>
        <w:jc w:val="both"/>
        <w:rPr>
          <w:rFonts w:ascii="Century Gothic" w:hAnsi="Century Gothic"/>
          <w:sz w:val="24"/>
          <w:szCs w:val="36"/>
        </w:rPr>
      </w:pPr>
      <w:r w:rsidRPr="007D5E50">
        <w:rPr>
          <w:rFonts w:ascii="Century Gothic" w:hAnsi="Century Gothic"/>
          <w:sz w:val="24"/>
          <w:szCs w:val="36"/>
        </w:rPr>
        <w:t xml:space="preserve">“The concept of inherent jurisdiction necessarily depends on a </w:t>
      </w:r>
      <w:r w:rsidR="00BE1B16" w:rsidRPr="007D5E50">
        <w:rPr>
          <w:rFonts w:ascii="Century Gothic" w:hAnsi="Century Gothic"/>
          <w:sz w:val="24"/>
          <w:szCs w:val="36"/>
        </w:rPr>
        <w:t>distinction</w:t>
      </w:r>
      <w:r w:rsidRPr="007D5E50">
        <w:rPr>
          <w:rFonts w:ascii="Century Gothic" w:hAnsi="Century Gothic"/>
          <w:sz w:val="24"/>
          <w:szCs w:val="36"/>
        </w:rPr>
        <w:t xml:space="preserve"> between jurisdiction that is explicitly attributed to the courts by law and those that a court possesses implicitly whether owing to the very nature of its function or its constitutional role in the administration of justice ....”</w:t>
      </w:r>
    </w:p>
    <w:p w:rsidR="00BD7870" w:rsidRPr="007D5E50" w:rsidRDefault="00BD7870" w:rsidP="007D5E50">
      <w:pPr>
        <w:spacing w:line="240" w:lineRule="auto"/>
        <w:jc w:val="both"/>
        <w:rPr>
          <w:rFonts w:ascii="Century Gothic" w:hAnsi="Century Gothic"/>
          <w:sz w:val="28"/>
          <w:szCs w:val="36"/>
        </w:rPr>
      </w:pPr>
      <w:r w:rsidRPr="007D5E50">
        <w:rPr>
          <w:rFonts w:ascii="Century Gothic" w:hAnsi="Century Gothic"/>
          <w:sz w:val="28"/>
          <w:szCs w:val="36"/>
        </w:rPr>
        <w:t>Of particular guidance is a statement o</w:t>
      </w:r>
      <w:r w:rsidR="00BE1B16" w:rsidRPr="007D5E50">
        <w:rPr>
          <w:rFonts w:ascii="Century Gothic" w:hAnsi="Century Gothic"/>
          <w:sz w:val="28"/>
          <w:szCs w:val="36"/>
        </w:rPr>
        <w:t>n</w:t>
      </w:r>
      <w:r w:rsidRPr="007D5E50">
        <w:rPr>
          <w:rFonts w:ascii="Century Gothic" w:hAnsi="Century Gothic"/>
          <w:sz w:val="28"/>
          <w:szCs w:val="36"/>
        </w:rPr>
        <w:t xml:space="preserve"> the principle</w:t>
      </w:r>
      <w:r w:rsidR="00BE1B16" w:rsidRPr="007D5E50">
        <w:rPr>
          <w:rFonts w:ascii="Century Gothic" w:hAnsi="Century Gothic"/>
          <w:sz w:val="28"/>
          <w:szCs w:val="36"/>
        </w:rPr>
        <w:t xml:space="preserve"> of inherent jurisdiction of courts</w:t>
      </w:r>
      <w:r w:rsidRPr="007D5E50">
        <w:rPr>
          <w:rFonts w:ascii="Century Gothic" w:hAnsi="Century Gothic"/>
          <w:sz w:val="28"/>
          <w:szCs w:val="36"/>
        </w:rPr>
        <w:t xml:space="preserve"> in </w:t>
      </w:r>
      <w:r w:rsidRPr="007D5E50">
        <w:rPr>
          <w:rFonts w:ascii="Century Gothic" w:hAnsi="Century Gothic"/>
          <w:b/>
          <w:sz w:val="28"/>
          <w:szCs w:val="36"/>
        </w:rPr>
        <w:t>Golden Forest Holdings Limited v Bank of Nova Scotia (1991)</w:t>
      </w:r>
      <w:r w:rsidRPr="007D5E50">
        <w:rPr>
          <w:rFonts w:ascii="Century Gothic" w:hAnsi="Century Gothic"/>
          <w:sz w:val="28"/>
          <w:szCs w:val="36"/>
        </w:rPr>
        <w:t xml:space="preserve"> 98 N. S. R. 2</w:t>
      </w:r>
      <w:r w:rsidRPr="007D5E50">
        <w:rPr>
          <w:rFonts w:ascii="Century Gothic" w:hAnsi="Century Gothic"/>
          <w:sz w:val="28"/>
          <w:szCs w:val="36"/>
          <w:vertAlign w:val="superscript"/>
        </w:rPr>
        <w:t>ND</w:t>
      </w:r>
      <w:r w:rsidRPr="007D5E50">
        <w:rPr>
          <w:rFonts w:ascii="Century Gothic" w:hAnsi="Century Gothic"/>
          <w:sz w:val="28"/>
          <w:szCs w:val="36"/>
        </w:rPr>
        <w:t xml:space="preserve"> 429 (1990, NSCA) where it is stated:</w:t>
      </w:r>
    </w:p>
    <w:p w:rsidR="00BD7870" w:rsidRPr="007D5E50" w:rsidRDefault="00DB49C6" w:rsidP="007D5E50">
      <w:pPr>
        <w:spacing w:line="240" w:lineRule="auto"/>
        <w:ind w:left="851" w:right="851"/>
        <w:jc w:val="both"/>
        <w:rPr>
          <w:rFonts w:ascii="Century Gothic" w:hAnsi="Century Gothic"/>
          <w:sz w:val="24"/>
          <w:szCs w:val="36"/>
        </w:rPr>
      </w:pPr>
      <w:r w:rsidRPr="007D5E50">
        <w:rPr>
          <w:rFonts w:ascii="Century Gothic" w:hAnsi="Century Gothic"/>
          <w:sz w:val="24"/>
          <w:szCs w:val="36"/>
        </w:rPr>
        <w:lastRenderedPageBreak/>
        <w:t xml:space="preserve">“The term inherent jurisdiction is not used in contradistinction to the jurisdiction of the court exercisable at common </w:t>
      </w:r>
      <w:r w:rsidR="002C5960" w:rsidRPr="007D5E50">
        <w:rPr>
          <w:rFonts w:ascii="Century Gothic" w:hAnsi="Century Gothic"/>
          <w:sz w:val="24"/>
          <w:szCs w:val="36"/>
        </w:rPr>
        <w:t>law or conferred on it by statut</w:t>
      </w:r>
      <w:r w:rsidRPr="007D5E50">
        <w:rPr>
          <w:rFonts w:ascii="Century Gothic" w:hAnsi="Century Gothic"/>
          <w:sz w:val="24"/>
          <w:szCs w:val="36"/>
        </w:rPr>
        <w:t>e or rules of court, for the court may exercise its inherent jurisdiction even in respect of matters which are</w:t>
      </w:r>
      <w:r w:rsidR="002C5960" w:rsidRPr="007D5E50">
        <w:rPr>
          <w:rFonts w:ascii="Century Gothic" w:hAnsi="Century Gothic"/>
          <w:sz w:val="24"/>
          <w:szCs w:val="36"/>
        </w:rPr>
        <w:t xml:space="preserve"> regulated by statute or rule of court.  The jurisdiction of the court which is comprised </w:t>
      </w:r>
      <w:r w:rsidRPr="007D5E50">
        <w:rPr>
          <w:rFonts w:ascii="Century Gothic" w:hAnsi="Century Gothic"/>
          <w:sz w:val="24"/>
          <w:szCs w:val="36"/>
        </w:rPr>
        <w:t>within the term inherent is that</w:t>
      </w:r>
      <w:r w:rsidR="002C5960" w:rsidRPr="007D5E50">
        <w:rPr>
          <w:rFonts w:ascii="Century Gothic" w:hAnsi="Century Gothic"/>
          <w:sz w:val="24"/>
          <w:szCs w:val="36"/>
        </w:rPr>
        <w:t xml:space="preserve"> which enables it to fulfil itself properly and effectively, as a court of law.  The overriding feature of the inherent jurisdiction</w:t>
      </w:r>
      <w:r w:rsidRPr="007D5E50">
        <w:rPr>
          <w:rFonts w:ascii="Century Gothic" w:hAnsi="Century Gothic"/>
          <w:sz w:val="24"/>
          <w:szCs w:val="36"/>
        </w:rPr>
        <w:t xml:space="preserve"> </w:t>
      </w:r>
      <w:r w:rsidR="002C5960" w:rsidRPr="007D5E50">
        <w:rPr>
          <w:rFonts w:ascii="Century Gothic" w:hAnsi="Century Gothic"/>
          <w:sz w:val="24"/>
          <w:szCs w:val="36"/>
        </w:rPr>
        <w:t>of the court is that it is a part of procedur</w:t>
      </w:r>
      <w:r w:rsidR="00AE38F5" w:rsidRPr="007D5E50">
        <w:rPr>
          <w:rFonts w:ascii="Century Gothic" w:hAnsi="Century Gothic"/>
          <w:sz w:val="24"/>
          <w:szCs w:val="36"/>
        </w:rPr>
        <w:t>al law, both civil and criminal ....</w:t>
      </w:r>
    </w:p>
    <w:p w:rsidR="00474A8C" w:rsidRPr="007D5E50" w:rsidRDefault="00474A8C" w:rsidP="007D5E50">
      <w:pPr>
        <w:spacing w:line="240" w:lineRule="auto"/>
        <w:ind w:left="851" w:right="851"/>
        <w:jc w:val="both"/>
        <w:rPr>
          <w:rFonts w:ascii="Century Gothic" w:hAnsi="Century Gothic"/>
          <w:sz w:val="24"/>
          <w:szCs w:val="36"/>
        </w:rPr>
      </w:pPr>
      <w:r w:rsidRPr="007D5E50">
        <w:rPr>
          <w:rFonts w:ascii="Century Gothic" w:hAnsi="Century Gothic"/>
          <w:sz w:val="24"/>
          <w:szCs w:val="36"/>
        </w:rPr>
        <w:t xml:space="preserve">In sum, it may be said that the inherent jurisdiction of the court is a virile and viable doctrine, and has been defined as being the reserve or fund of powers, a residual source of powers, which the court may draw upon as necessary whenever it is just or </w:t>
      </w:r>
      <w:r w:rsidR="000E5134" w:rsidRPr="007D5E50">
        <w:rPr>
          <w:rFonts w:ascii="Century Gothic" w:hAnsi="Century Gothic"/>
          <w:sz w:val="24"/>
          <w:szCs w:val="36"/>
        </w:rPr>
        <w:t>equitable to do so, in particular to ensure the observance of th</w:t>
      </w:r>
      <w:r w:rsidR="00BE1B16" w:rsidRPr="007D5E50">
        <w:rPr>
          <w:rFonts w:ascii="Century Gothic" w:hAnsi="Century Gothic"/>
          <w:sz w:val="24"/>
          <w:szCs w:val="36"/>
        </w:rPr>
        <w:t>e</w:t>
      </w:r>
      <w:r w:rsidR="000E5134" w:rsidRPr="007D5E50">
        <w:rPr>
          <w:rFonts w:ascii="Century Gothic" w:hAnsi="Century Gothic"/>
          <w:sz w:val="24"/>
          <w:szCs w:val="36"/>
        </w:rPr>
        <w:t xml:space="preserve"> due process of the law, to </w:t>
      </w:r>
      <w:r w:rsidRPr="007D5E50">
        <w:rPr>
          <w:rFonts w:ascii="Century Gothic" w:hAnsi="Century Gothic"/>
          <w:sz w:val="24"/>
          <w:szCs w:val="36"/>
        </w:rPr>
        <w:t>prevent improper vexation or oppression, to do justice between the parties and to secure a fair trial between them.”</w:t>
      </w:r>
    </w:p>
    <w:p w:rsidR="00DB49C6" w:rsidRPr="007D5E50" w:rsidRDefault="00DB49C6" w:rsidP="007D5E50">
      <w:pPr>
        <w:spacing w:line="240" w:lineRule="auto"/>
        <w:jc w:val="both"/>
        <w:rPr>
          <w:rFonts w:ascii="Century Gothic" w:hAnsi="Century Gothic"/>
          <w:sz w:val="28"/>
          <w:szCs w:val="28"/>
        </w:rPr>
      </w:pPr>
      <w:r w:rsidRPr="007D5E50">
        <w:rPr>
          <w:rFonts w:ascii="Century Gothic" w:hAnsi="Century Gothic"/>
          <w:sz w:val="28"/>
          <w:szCs w:val="28"/>
        </w:rPr>
        <w:t>We find ourselves in a situation where the law was short-sighted</w:t>
      </w:r>
      <w:r w:rsidR="00A14CE2" w:rsidRPr="007D5E50">
        <w:rPr>
          <w:rFonts w:ascii="Century Gothic" w:hAnsi="Century Gothic"/>
          <w:sz w:val="28"/>
          <w:szCs w:val="28"/>
        </w:rPr>
        <w:t>,</w:t>
      </w:r>
      <w:r w:rsidRPr="007D5E50">
        <w:rPr>
          <w:rFonts w:ascii="Century Gothic" w:hAnsi="Century Gothic"/>
          <w:sz w:val="28"/>
          <w:szCs w:val="28"/>
        </w:rPr>
        <w:t xml:space="preserve"> much as it is appreciated that even the best of legislation could not prescri</w:t>
      </w:r>
      <w:r w:rsidR="00A14CE2" w:rsidRPr="007D5E50">
        <w:rPr>
          <w:rFonts w:ascii="Century Gothic" w:hAnsi="Century Gothic"/>
          <w:sz w:val="28"/>
          <w:szCs w:val="28"/>
        </w:rPr>
        <w:t>be for all events ahead of time.  Y</w:t>
      </w:r>
      <w:r w:rsidRPr="007D5E50">
        <w:rPr>
          <w:rFonts w:ascii="Century Gothic" w:hAnsi="Century Gothic"/>
          <w:sz w:val="28"/>
          <w:szCs w:val="28"/>
        </w:rPr>
        <w:t>et it is cardinal</w:t>
      </w:r>
      <w:r w:rsidR="00A14CE2" w:rsidRPr="007D5E50">
        <w:rPr>
          <w:rFonts w:ascii="Century Gothic" w:hAnsi="Century Gothic"/>
          <w:sz w:val="28"/>
          <w:szCs w:val="28"/>
        </w:rPr>
        <w:t xml:space="preserve"> that </w:t>
      </w:r>
      <w:r w:rsidRPr="007D5E50">
        <w:rPr>
          <w:rFonts w:ascii="Century Gothic" w:hAnsi="Century Gothic"/>
          <w:sz w:val="28"/>
          <w:szCs w:val="28"/>
        </w:rPr>
        <w:t xml:space="preserve">a litigant could never be left without a remedy in our </w:t>
      </w:r>
      <w:r w:rsidR="004627E7" w:rsidRPr="007D5E50">
        <w:rPr>
          <w:rFonts w:ascii="Century Gothic" w:hAnsi="Century Gothic"/>
          <w:sz w:val="28"/>
          <w:szCs w:val="28"/>
        </w:rPr>
        <w:t xml:space="preserve">legal system let alone in </w:t>
      </w:r>
      <w:r w:rsidRPr="007D5E50">
        <w:rPr>
          <w:rFonts w:ascii="Century Gothic" w:hAnsi="Century Gothic"/>
          <w:sz w:val="28"/>
          <w:szCs w:val="28"/>
        </w:rPr>
        <w:t xml:space="preserve">criminal justice.  While the power for certification is confined to the Chief Justice, </w:t>
      </w:r>
      <w:r w:rsidR="00A14CE2" w:rsidRPr="007D5E50">
        <w:rPr>
          <w:rFonts w:ascii="Century Gothic" w:hAnsi="Century Gothic"/>
          <w:sz w:val="28"/>
          <w:szCs w:val="28"/>
        </w:rPr>
        <w:t xml:space="preserve">out of </w:t>
      </w:r>
      <w:r w:rsidRPr="007D5E50">
        <w:rPr>
          <w:rFonts w:ascii="Century Gothic" w:hAnsi="Century Gothic"/>
          <w:sz w:val="28"/>
          <w:szCs w:val="28"/>
        </w:rPr>
        <w:t>necessity</w:t>
      </w:r>
      <w:r w:rsidR="004627E7" w:rsidRPr="007D5E50">
        <w:rPr>
          <w:rFonts w:ascii="Century Gothic" w:hAnsi="Century Gothic"/>
          <w:sz w:val="28"/>
          <w:szCs w:val="28"/>
        </w:rPr>
        <w:t xml:space="preserve"> and</w:t>
      </w:r>
      <w:r w:rsidRPr="007D5E50">
        <w:rPr>
          <w:rFonts w:ascii="Century Gothic" w:hAnsi="Century Gothic"/>
          <w:sz w:val="28"/>
          <w:szCs w:val="28"/>
        </w:rPr>
        <w:t xml:space="preserve"> in the</w:t>
      </w:r>
      <w:r w:rsidR="004627E7" w:rsidRPr="007D5E50">
        <w:rPr>
          <w:rFonts w:ascii="Century Gothic" w:hAnsi="Century Gothic"/>
          <w:sz w:val="28"/>
          <w:szCs w:val="28"/>
        </w:rPr>
        <w:t xml:space="preserve"> overriding</w:t>
      </w:r>
      <w:r w:rsidRPr="007D5E50">
        <w:rPr>
          <w:rFonts w:ascii="Century Gothic" w:hAnsi="Century Gothic"/>
          <w:sz w:val="28"/>
          <w:szCs w:val="28"/>
        </w:rPr>
        <w:t xml:space="preserve"> interest of the administration of justice, </w:t>
      </w:r>
      <w:r w:rsidR="004627E7" w:rsidRPr="007D5E50">
        <w:rPr>
          <w:rFonts w:ascii="Century Gothic" w:hAnsi="Century Gothic"/>
          <w:sz w:val="28"/>
          <w:szCs w:val="28"/>
        </w:rPr>
        <w:t>iit is more than compelling that I</w:t>
      </w:r>
      <w:r w:rsidR="00A14CE2" w:rsidRPr="007D5E50">
        <w:rPr>
          <w:rFonts w:ascii="Century Gothic" w:hAnsi="Century Gothic"/>
          <w:sz w:val="28"/>
          <w:szCs w:val="28"/>
        </w:rPr>
        <w:t xml:space="preserve"> exercise </w:t>
      </w:r>
      <w:r w:rsidR="004627E7" w:rsidRPr="007D5E50">
        <w:rPr>
          <w:rFonts w:ascii="Century Gothic" w:hAnsi="Century Gothic"/>
          <w:sz w:val="28"/>
          <w:szCs w:val="28"/>
        </w:rPr>
        <w:t>the</w:t>
      </w:r>
      <w:r w:rsidR="00A14CE2" w:rsidRPr="007D5E50">
        <w:rPr>
          <w:rFonts w:ascii="Century Gothic" w:hAnsi="Century Gothic"/>
          <w:sz w:val="28"/>
          <w:szCs w:val="28"/>
        </w:rPr>
        <w:t xml:space="preserve"> inherent powers of the court</w:t>
      </w:r>
      <w:r w:rsidR="004627E7" w:rsidRPr="007D5E50">
        <w:rPr>
          <w:rFonts w:ascii="Century Gothic" w:hAnsi="Century Gothic"/>
          <w:sz w:val="28"/>
          <w:szCs w:val="28"/>
        </w:rPr>
        <w:t xml:space="preserve"> and</w:t>
      </w:r>
      <w:r w:rsidR="00BE1B16" w:rsidRPr="007D5E50">
        <w:rPr>
          <w:rFonts w:ascii="Century Gothic" w:hAnsi="Century Gothic"/>
          <w:sz w:val="28"/>
          <w:szCs w:val="28"/>
        </w:rPr>
        <w:t xml:space="preserve"> </w:t>
      </w:r>
      <w:r w:rsidRPr="007D5E50">
        <w:rPr>
          <w:rFonts w:ascii="Century Gothic" w:hAnsi="Century Gothic"/>
          <w:sz w:val="28"/>
          <w:szCs w:val="28"/>
        </w:rPr>
        <w:t xml:space="preserve">cede my authority </w:t>
      </w:r>
      <w:r w:rsidR="00A14CE2" w:rsidRPr="007D5E50">
        <w:rPr>
          <w:rFonts w:ascii="Century Gothic" w:hAnsi="Century Gothic"/>
          <w:sz w:val="28"/>
          <w:szCs w:val="28"/>
        </w:rPr>
        <w:t xml:space="preserve">over these proceedings </w:t>
      </w:r>
      <w:r w:rsidRPr="007D5E50">
        <w:rPr>
          <w:rFonts w:ascii="Century Gothic" w:hAnsi="Century Gothic"/>
          <w:sz w:val="28"/>
          <w:szCs w:val="28"/>
        </w:rPr>
        <w:t>to the next most Senior Justice of Appeal.</w:t>
      </w:r>
      <w:r w:rsidR="00BE1B16" w:rsidRPr="007D5E50">
        <w:rPr>
          <w:rFonts w:ascii="Century Gothic" w:hAnsi="Century Gothic"/>
          <w:sz w:val="28"/>
          <w:szCs w:val="28"/>
        </w:rPr>
        <w:t xml:space="preserve">  </w:t>
      </w:r>
      <w:r w:rsidRPr="007D5E50">
        <w:rPr>
          <w:rFonts w:ascii="Century Gothic" w:hAnsi="Century Gothic"/>
          <w:sz w:val="28"/>
          <w:szCs w:val="28"/>
        </w:rPr>
        <w:t>I</w:t>
      </w:r>
      <w:r w:rsidR="00F921F1" w:rsidRPr="007D5E50">
        <w:rPr>
          <w:rFonts w:ascii="Century Gothic" w:hAnsi="Century Gothic"/>
          <w:sz w:val="28"/>
          <w:szCs w:val="28"/>
        </w:rPr>
        <w:t>t</w:t>
      </w:r>
      <w:r w:rsidRPr="007D5E50">
        <w:rPr>
          <w:rFonts w:ascii="Century Gothic" w:hAnsi="Century Gothic"/>
          <w:sz w:val="28"/>
          <w:szCs w:val="28"/>
        </w:rPr>
        <w:t xml:space="preserve"> must</w:t>
      </w:r>
      <w:r w:rsidR="00F921F1" w:rsidRPr="007D5E50">
        <w:rPr>
          <w:rFonts w:ascii="Century Gothic" w:hAnsi="Century Gothic"/>
          <w:sz w:val="28"/>
          <w:szCs w:val="28"/>
        </w:rPr>
        <w:t xml:space="preserve"> be</w:t>
      </w:r>
      <w:r w:rsidRPr="007D5E50">
        <w:rPr>
          <w:rFonts w:ascii="Century Gothic" w:hAnsi="Century Gothic"/>
          <w:sz w:val="28"/>
          <w:szCs w:val="28"/>
        </w:rPr>
        <w:t xml:space="preserve"> emphasize</w:t>
      </w:r>
      <w:r w:rsidR="00F921F1" w:rsidRPr="007D5E50">
        <w:rPr>
          <w:rFonts w:ascii="Century Gothic" w:hAnsi="Century Gothic"/>
          <w:sz w:val="28"/>
          <w:szCs w:val="28"/>
        </w:rPr>
        <w:t>d</w:t>
      </w:r>
      <w:r w:rsidRPr="007D5E50">
        <w:rPr>
          <w:rFonts w:ascii="Century Gothic" w:hAnsi="Century Gothic"/>
          <w:sz w:val="28"/>
          <w:szCs w:val="28"/>
        </w:rPr>
        <w:t xml:space="preserve"> </w:t>
      </w:r>
      <w:r w:rsidR="00F921F1" w:rsidRPr="007D5E50">
        <w:rPr>
          <w:rFonts w:ascii="Century Gothic" w:hAnsi="Century Gothic"/>
          <w:sz w:val="28"/>
          <w:szCs w:val="28"/>
        </w:rPr>
        <w:t xml:space="preserve">again </w:t>
      </w:r>
      <w:r w:rsidRPr="007D5E50">
        <w:rPr>
          <w:rFonts w:ascii="Century Gothic" w:hAnsi="Century Gothic"/>
          <w:sz w:val="28"/>
          <w:szCs w:val="28"/>
        </w:rPr>
        <w:t xml:space="preserve">that the exercise of </w:t>
      </w:r>
      <w:r w:rsidR="00BE1B16" w:rsidRPr="007D5E50">
        <w:rPr>
          <w:rFonts w:ascii="Century Gothic" w:hAnsi="Century Gothic"/>
          <w:sz w:val="28"/>
          <w:szCs w:val="28"/>
        </w:rPr>
        <w:t xml:space="preserve">inherent </w:t>
      </w:r>
      <w:r w:rsidR="00F921F1" w:rsidRPr="007D5E50">
        <w:rPr>
          <w:rFonts w:ascii="Century Gothic" w:hAnsi="Century Gothic"/>
          <w:sz w:val="28"/>
          <w:szCs w:val="28"/>
        </w:rPr>
        <w:t>powers</w:t>
      </w:r>
      <w:r w:rsidR="00BE1B16" w:rsidRPr="007D5E50">
        <w:rPr>
          <w:rFonts w:ascii="Century Gothic" w:hAnsi="Century Gothic"/>
          <w:sz w:val="28"/>
          <w:szCs w:val="28"/>
        </w:rPr>
        <w:t xml:space="preserve"> is</w:t>
      </w:r>
      <w:r w:rsidR="00F921F1" w:rsidRPr="007D5E50">
        <w:rPr>
          <w:rFonts w:ascii="Century Gothic" w:hAnsi="Century Gothic"/>
          <w:sz w:val="28"/>
          <w:szCs w:val="28"/>
        </w:rPr>
        <w:t xml:space="preserve"> </w:t>
      </w:r>
      <w:r w:rsidRPr="007D5E50">
        <w:rPr>
          <w:rFonts w:ascii="Century Gothic" w:hAnsi="Century Gothic"/>
          <w:sz w:val="28"/>
          <w:szCs w:val="28"/>
        </w:rPr>
        <w:t>only for the ends of justice</w:t>
      </w:r>
      <w:r w:rsidR="004627E7" w:rsidRPr="007D5E50">
        <w:rPr>
          <w:rFonts w:ascii="Century Gothic" w:hAnsi="Century Gothic"/>
          <w:sz w:val="28"/>
          <w:szCs w:val="28"/>
        </w:rPr>
        <w:t xml:space="preserve"> and must </w:t>
      </w:r>
      <w:r w:rsidR="00744431" w:rsidRPr="007D5E50">
        <w:rPr>
          <w:rFonts w:ascii="Century Gothic" w:hAnsi="Century Gothic"/>
          <w:sz w:val="28"/>
          <w:szCs w:val="28"/>
        </w:rPr>
        <w:t>accordingly be absolutely confined</w:t>
      </w:r>
      <w:r w:rsidRPr="007D5E50">
        <w:rPr>
          <w:rFonts w:ascii="Century Gothic" w:hAnsi="Century Gothic"/>
          <w:sz w:val="28"/>
          <w:szCs w:val="28"/>
        </w:rPr>
        <w:t>.</w:t>
      </w:r>
    </w:p>
    <w:p w:rsidR="00DB49C6" w:rsidRPr="007D5E50" w:rsidRDefault="00F921F1" w:rsidP="00570F95">
      <w:pPr>
        <w:jc w:val="both"/>
        <w:rPr>
          <w:rFonts w:ascii="Century Gothic" w:hAnsi="Century Gothic"/>
          <w:sz w:val="28"/>
          <w:szCs w:val="28"/>
        </w:rPr>
      </w:pPr>
      <w:r w:rsidRPr="007D5E50">
        <w:rPr>
          <w:rFonts w:ascii="Century Gothic" w:hAnsi="Century Gothic"/>
          <w:b/>
          <w:sz w:val="28"/>
          <w:szCs w:val="28"/>
        </w:rPr>
        <w:t>PRONOUNCED</w:t>
      </w:r>
      <w:r w:rsidRPr="007D5E50">
        <w:rPr>
          <w:rFonts w:ascii="Century Gothic" w:hAnsi="Century Gothic"/>
          <w:sz w:val="28"/>
          <w:szCs w:val="28"/>
        </w:rPr>
        <w:t xml:space="preserve"> this 29</w:t>
      </w:r>
      <w:r w:rsidRPr="007D5E50">
        <w:rPr>
          <w:rFonts w:ascii="Century Gothic" w:hAnsi="Century Gothic"/>
          <w:sz w:val="28"/>
          <w:szCs w:val="28"/>
          <w:vertAlign w:val="superscript"/>
        </w:rPr>
        <w:t>th</w:t>
      </w:r>
      <w:r w:rsidRPr="007D5E50">
        <w:rPr>
          <w:rFonts w:ascii="Century Gothic" w:hAnsi="Century Gothic"/>
          <w:sz w:val="28"/>
          <w:szCs w:val="28"/>
        </w:rPr>
        <w:t xml:space="preserve"> day of October, 2015, at Blantyre.</w:t>
      </w:r>
    </w:p>
    <w:p w:rsidR="006353E6" w:rsidRPr="007D5E50" w:rsidRDefault="006353E6" w:rsidP="00570F95">
      <w:pPr>
        <w:jc w:val="both"/>
        <w:rPr>
          <w:rFonts w:ascii="Century Gothic" w:hAnsi="Century Gothic"/>
          <w:sz w:val="28"/>
          <w:szCs w:val="28"/>
        </w:rPr>
      </w:pPr>
    </w:p>
    <w:p w:rsidR="006353E6" w:rsidRPr="007D5E50" w:rsidRDefault="006353E6" w:rsidP="00570F95">
      <w:pPr>
        <w:jc w:val="both"/>
        <w:rPr>
          <w:rFonts w:ascii="Century Gothic" w:hAnsi="Century Gothic"/>
          <w:sz w:val="28"/>
          <w:szCs w:val="28"/>
        </w:rPr>
      </w:pPr>
    </w:p>
    <w:p w:rsidR="006353E6" w:rsidRPr="007D5E50" w:rsidRDefault="006353E6" w:rsidP="00570F95">
      <w:pPr>
        <w:jc w:val="both"/>
        <w:rPr>
          <w:rFonts w:ascii="Century Gothic" w:hAnsi="Century Gothic"/>
          <w:sz w:val="28"/>
          <w:szCs w:val="28"/>
        </w:rPr>
      </w:pPr>
    </w:p>
    <w:p w:rsidR="008C4150" w:rsidRPr="007D5E50" w:rsidRDefault="00F921F1" w:rsidP="00F921F1">
      <w:pPr>
        <w:pStyle w:val="NoSpacing"/>
        <w:jc w:val="center"/>
        <w:rPr>
          <w:rFonts w:ascii="Century Gothic" w:hAnsi="Century Gothic"/>
          <w:sz w:val="28"/>
          <w:szCs w:val="28"/>
          <w:u w:val="single"/>
        </w:rPr>
      </w:pPr>
      <w:r w:rsidRPr="007D5E50">
        <w:rPr>
          <w:rFonts w:ascii="Century Gothic" w:hAnsi="Century Gothic"/>
          <w:sz w:val="28"/>
          <w:szCs w:val="28"/>
          <w:u w:val="single"/>
        </w:rPr>
        <w:t>A. K. C. Nyirenda, SC</w:t>
      </w:r>
    </w:p>
    <w:p w:rsidR="00F921F1" w:rsidRPr="007D5E50" w:rsidRDefault="00F921F1" w:rsidP="00F921F1">
      <w:pPr>
        <w:pStyle w:val="NoSpacing"/>
        <w:jc w:val="center"/>
        <w:rPr>
          <w:rFonts w:ascii="Century Gothic" w:hAnsi="Century Gothic"/>
          <w:b/>
          <w:sz w:val="28"/>
          <w:szCs w:val="28"/>
        </w:rPr>
      </w:pPr>
      <w:r w:rsidRPr="007D5E50">
        <w:rPr>
          <w:rFonts w:ascii="Century Gothic" w:hAnsi="Century Gothic"/>
          <w:b/>
          <w:sz w:val="28"/>
          <w:szCs w:val="28"/>
        </w:rPr>
        <w:t>CHIEF JUSTICE</w:t>
      </w:r>
    </w:p>
    <w:p w:rsidR="008C4150" w:rsidRPr="007D5E50" w:rsidRDefault="008C4150" w:rsidP="00EB5797">
      <w:pPr>
        <w:rPr>
          <w:sz w:val="28"/>
          <w:szCs w:val="28"/>
        </w:rPr>
      </w:pPr>
    </w:p>
    <w:sectPr w:rsidR="008C4150" w:rsidRPr="007D5E50" w:rsidSect="005143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9E5" w:rsidRDefault="005A79E5" w:rsidP="00B538A5">
      <w:pPr>
        <w:spacing w:after="0" w:line="240" w:lineRule="auto"/>
      </w:pPr>
      <w:r>
        <w:separator/>
      </w:r>
    </w:p>
  </w:endnote>
  <w:endnote w:type="continuationSeparator" w:id="0">
    <w:p w:rsidR="005A79E5" w:rsidRDefault="005A79E5" w:rsidP="00B5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64151"/>
      <w:docPartObj>
        <w:docPartGallery w:val="Page Numbers (Bottom of Page)"/>
        <w:docPartUnique/>
      </w:docPartObj>
    </w:sdtPr>
    <w:sdtEndPr/>
    <w:sdtContent>
      <w:p w:rsidR="00D70386" w:rsidRDefault="005A79E5">
        <w:pPr>
          <w:pStyle w:val="Footer"/>
          <w:jc w:val="center"/>
        </w:pPr>
        <w:r>
          <w:fldChar w:fldCharType="begin"/>
        </w:r>
        <w:r>
          <w:instrText xml:space="preserve"> PAGE   \* MERGEFORMAT </w:instrText>
        </w:r>
        <w:r>
          <w:fldChar w:fldCharType="separate"/>
        </w:r>
        <w:r w:rsidR="00AB1E48">
          <w:rPr>
            <w:noProof/>
          </w:rPr>
          <w:t>1</w:t>
        </w:r>
        <w:r>
          <w:rPr>
            <w:noProof/>
          </w:rPr>
          <w:fldChar w:fldCharType="end"/>
        </w:r>
      </w:p>
    </w:sdtContent>
  </w:sdt>
  <w:p w:rsidR="00D70386" w:rsidRDefault="00D70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9E5" w:rsidRDefault="005A79E5" w:rsidP="00B538A5">
      <w:pPr>
        <w:spacing w:after="0" w:line="240" w:lineRule="auto"/>
      </w:pPr>
      <w:r>
        <w:separator/>
      </w:r>
    </w:p>
  </w:footnote>
  <w:footnote w:type="continuationSeparator" w:id="0">
    <w:p w:rsidR="005A79E5" w:rsidRDefault="005A79E5" w:rsidP="00B53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A5316"/>
    <w:multiLevelType w:val="hybridMultilevel"/>
    <w:tmpl w:val="1980BBBE"/>
    <w:lvl w:ilvl="0" w:tplc="1E54D5A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97"/>
    <w:rsid w:val="00025559"/>
    <w:rsid w:val="00072A5B"/>
    <w:rsid w:val="000E5134"/>
    <w:rsid w:val="001244DD"/>
    <w:rsid w:val="00152584"/>
    <w:rsid w:val="00195D24"/>
    <w:rsid w:val="00210FBF"/>
    <w:rsid w:val="00230516"/>
    <w:rsid w:val="00232B62"/>
    <w:rsid w:val="00240F57"/>
    <w:rsid w:val="00285D47"/>
    <w:rsid w:val="002C5960"/>
    <w:rsid w:val="00306523"/>
    <w:rsid w:val="003B2016"/>
    <w:rsid w:val="003E12B6"/>
    <w:rsid w:val="003F7283"/>
    <w:rsid w:val="0040089E"/>
    <w:rsid w:val="00402F40"/>
    <w:rsid w:val="004627E7"/>
    <w:rsid w:val="00474A8C"/>
    <w:rsid w:val="004946D0"/>
    <w:rsid w:val="0051436F"/>
    <w:rsid w:val="00570F95"/>
    <w:rsid w:val="005A79E5"/>
    <w:rsid w:val="005B40F7"/>
    <w:rsid w:val="0060668F"/>
    <w:rsid w:val="006200D9"/>
    <w:rsid w:val="006353D2"/>
    <w:rsid w:val="006353E6"/>
    <w:rsid w:val="0067288D"/>
    <w:rsid w:val="006817FB"/>
    <w:rsid w:val="00742854"/>
    <w:rsid w:val="00744431"/>
    <w:rsid w:val="007D5E50"/>
    <w:rsid w:val="007F61E4"/>
    <w:rsid w:val="0089171D"/>
    <w:rsid w:val="008C4150"/>
    <w:rsid w:val="008C4956"/>
    <w:rsid w:val="008D20F8"/>
    <w:rsid w:val="008F613B"/>
    <w:rsid w:val="009437DB"/>
    <w:rsid w:val="00947186"/>
    <w:rsid w:val="00964CEA"/>
    <w:rsid w:val="00982DBF"/>
    <w:rsid w:val="009E3D3B"/>
    <w:rsid w:val="00A07D3F"/>
    <w:rsid w:val="00A14CE2"/>
    <w:rsid w:val="00A376F4"/>
    <w:rsid w:val="00A75CBF"/>
    <w:rsid w:val="00A84C03"/>
    <w:rsid w:val="00A875C7"/>
    <w:rsid w:val="00AB1E48"/>
    <w:rsid w:val="00AB4F7B"/>
    <w:rsid w:val="00AC65D4"/>
    <w:rsid w:val="00AE38F5"/>
    <w:rsid w:val="00B40CE1"/>
    <w:rsid w:val="00B538A5"/>
    <w:rsid w:val="00BA54EF"/>
    <w:rsid w:val="00BB6D8A"/>
    <w:rsid w:val="00BD7870"/>
    <w:rsid w:val="00BE1B16"/>
    <w:rsid w:val="00C31D99"/>
    <w:rsid w:val="00C57693"/>
    <w:rsid w:val="00D467DD"/>
    <w:rsid w:val="00D47F08"/>
    <w:rsid w:val="00D70386"/>
    <w:rsid w:val="00DA2428"/>
    <w:rsid w:val="00DB49C6"/>
    <w:rsid w:val="00E04C71"/>
    <w:rsid w:val="00E30028"/>
    <w:rsid w:val="00E820BE"/>
    <w:rsid w:val="00E86ACE"/>
    <w:rsid w:val="00EB5797"/>
    <w:rsid w:val="00ED4AE6"/>
    <w:rsid w:val="00EE2822"/>
    <w:rsid w:val="00F36B87"/>
    <w:rsid w:val="00F921F1"/>
    <w:rsid w:val="00FF1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C4BC1-3E16-4F41-9398-01F4098C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8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38A5"/>
  </w:style>
  <w:style w:type="paragraph" w:styleId="Footer">
    <w:name w:val="footer"/>
    <w:basedOn w:val="Normal"/>
    <w:link w:val="FooterChar"/>
    <w:uiPriority w:val="99"/>
    <w:unhideWhenUsed/>
    <w:rsid w:val="00B53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8A5"/>
  </w:style>
  <w:style w:type="paragraph" w:styleId="BalloonText">
    <w:name w:val="Balloon Text"/>
    <w:basedOn w:val="Normal"/>
    <w:link w:val="BalloonTextChar"/>
    <w:uiPriority w:val="99"/>
    <w:semiHidden/>
    <w:unhideWhenUsed/>
    <w:rsid w:val="00D4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DD"/>
    <w:rPr>
      <w:rFonts w:ascii="Tahoma" w:hAnsi="Tahoma" w:cs="Tahoma"/>
      <w:sz w:val="16"/>
      <w:szCs w:val="16"/>
    </w:rPr>
  </w:style>
  <w:style w:type="paragraph" w:styleId="NoSpacing">
    <w:name w:val="No Spacing"/>
    <w:uiPriority w:val="1"/>
    <w:qFormat/>
    <w:rsid w:val="00F921F1"/>
    <w:pPr>
      <w:spacing w:after="0" w:line="240" w:lineRule="auto"/>
    </w:pPr>
  </w:style>
  <w:style w:type="paragraph" w:styleId="ListParagraph">
    <w:name w:val="List Paragraph"/>
    <w:basedOn w:val="Normal"/>
    <w:uiPriority w:val="34"/>
    <w:qFormat/>
    <w:rsid w:val="008F6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B974-FDDA-4436-AEFE-6A46434B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Mwafulirwa</dc:creator>
  <cp:lastModifiedBy>catherine kruyer</cp:lastModifiedBy>
  <cp:revision>2</cp:revision>
  <cp:lastPrinted>2015-10-27T14:25:00Z</cp:lastPrinted>
  <dcterms:created xsi:type="dcterms:W3CDTF">2015-12-18T14:53:00Z</dcterms:created>
  <dcterms:modified xsi:type="dcterms:W3CDTF">2015-12-18T14:53:00Z</dcterms:modified>
</cp:coreProperties>
</file>