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721" w:rsidRDefault="00627721" w:rsidP="00627721">
      <w:pPr>
        <w:tabs>
          <w:tab w:val="left" w:pos="1200"/>
        </w:tabs>
        <w:rPr>
          <w:rFonts w:ascii="Times New Roman" w:hAnsi="Times New Roman" w:cs="Times New Roman"/>
          <w:sz w:val="28"/>
          <w:szCs w:val="28"/>
        </w:rPr>
      </w:pPr>
      <w:r>
        <w:rPr>
          <w:rFonts w:ascii="Times New Roman" w:hAnsi="Times New Roman" w:cs="Times New Roman"/>
          <w:sz w:val="28"/>
          <w:szCs w:val="28"/>
        </w:rPr>
        <w:tab/>
      </w:r>
    </w:p>
    <w:p w:rsidR="00627721" w:rsidRDefault="00627721" w:rsidP="00627721">
      <w:pPr>
        <w:pStyle w:val="Title"/>
        <w:spacing w:line="360" w:lineRule="auto"/>
        <w:rPr>
          <w:rFonts w:ascii="Comic Sans MS" w:hAnsi="Comic Sans MS"/>
          <w:sz w:val="22"/>
          <w:szCs w:val="22"/>
        </w:rPr>
      </w:pPr>
      <w:r>
        <w:rPr>
          <w:szCs w:val="28"/>
        </w:rPr>
        <w:t xml:space="preserve">                                    </w:t>
      </w:r>
      <w:r>
        <w:rPr>
          <w:noProof/>
        </w:rPr>
        <w:drawing>
          <wp:anchor distT="0" distB="0" distL="114300" distR="114300" simplePos="0" relativeHeight="251659264" behindDoc="0" locked="0" layoutInCell="1" allowOverlap="1">
            <wp:simplePos x="0" y="0"/>
            <wp:positionH relativeFrom="column">
              <wp:posOffset>2171700</wp:posOffset>
            </wp:positionH>
            <wp:positionV relativeFrom="paragraph">
              <wp:posOffset>-342900</wp:posOffset>
            </wp:positionV>
            <wp:extent cx="969010" cy="880745"/>
            <wp:effectExtent l="19050" t="0" r="2540" b="0"/>
            <wp:wrapNone/>
            <wp:docPr id="2" name="Picture 2"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
                    <pic:cNvPicPr>
                      <a:picLocks noChangeAspect="1" noChangeArrowheads="1"/>
                    </pic:cNvPicPr>
                  </pic:nvPicPr>
                  <pic:blipFill>
                    <a:blip r:embed="rId6"/>
                    <a:srcRect/>
                    <a:stretch>
                      <a:fillRect/>
                    </a:stretch>
                  </pic:blipFill>
                  <pic:spPr bwMode="auto">
                    <a:xfrm>
                      <a:off x="0" y="0"/>
                      <a:ext cx="969010" cy="880745"/>
                    </a:xfrm>
                    <a:prstGeom prst="rect">
                      <a:avLst/>
                    </a:prstGeom>
                    <a:noFill/>
                  </pic:spPr>
                </pic:pic>
              </a:graphicData>
            </a:graphic>
          </wp:anchor>
        </w:drawing>
      </w:r>
    </w:p>
    <w:p w:rsidR="00627721" w:rsidRDefault="00627721" w:rsidP="00627721">
      <w:pPr>
        <w:pStyle w:val="Title"/>
        <w:spacing w:line="360" w:lineRule="auto"/>
        <w:rPr>
          <w:rFonts w:ascii="Comic Sans MS" w:hAnsi="Comic Sans MS"/>
          <w:sz w:val="22"/>
          <w:szCs w:val="22"/>
        </w:rPr>
      </w:pPr>
    </w:p>
    <w:p w:rsidR="00627721" w:rsidRDefault="00627721" w:rsidP="00627721">
      <w:pPr>
        <w:pStyle w:val="Title"/>
        <w:spacing w:line="360" w:lineRule="auto"/>
        <w:rPr>
          <w:rFonts w:ascii="Comic Sans MS" w:hAnsi="Comic Sans MS"/>
          <w:sz w:val="22"/>
          <w:szCs w:val="22"/>
        </w:rPr>
      </w:pPr>
    </w:p>
    <w:p w:rsidR="00627721" w:rsidRDefault="00627721" w:rsidP="00627721">
      <w:pPr>
        <w:tabs>
          <w:tab w:val="left" w:pos="2160"/>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IN THE HIGH COURT OF MALAWI</w:t>
      </w:r>
    </w:p>
    <w:p w:rsidR="00627721" w:rsidRDefault="00627721" w:rsidP="00627721">
      <w:pPr>
        <w:tabs>
          <w:tab w:val="left" w:pos="2160"/>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                                            PRINCIPAL REGISTRY</w:t>
      </w:r>
    </w:p>
    <w:p w:rsidR="00627721" w:rsidRDefault="00627721" w:rsidP="00627721">
      <w:pPr>
        <w:tabs>
          <w:tab w:val="left" w:pos="2160"/>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15398E">
        <w:rPr>
          <w:rFonts w:ascii="Times New Roman" w:hAnsi="Times New Roman" w:cs="Times New Roman"/>
          <w:b/>
          <w:sz w:val="28"/>
          <w:szCs w:val="28"/>
        </w:rPr>
        <w:t xml:space="preserve">           CIVIL CAUSE NUMBER </w:t>
      </w:r>
      <w:r>
        <w:rPr>
          <w:rFonts w:ascii="Times New Roman" w:hAnsi="Times New Roman" w:cs="Times New Roman"/>
          <w:b/>
          <w:sz w:val="28"/>
          <w:szCs w:val="28"/>
        </w:rPr>
        <w:t>9</w:t>
      </w:r>
      <w:r w:rsidR="0015398E">
        <w:rPr>
          <w:rFonts w:ascii="Times New Roman" w:hAnsi="Times New Roman" w:cs="Times New Roman"/>
          <w:b/>
          <w:sz w:val="28"/>
          <w:szCs w:val="28"/>
        </w:rPr>
        <w:t>8 OF 2014</w:t>
      </w:r>
    </w:p>
    <w:p w:rsidR="00627721" w:rsidRDefault="00627721" w:rsidP="00627721">
      <w:pPr>
        <w:tabs>
          <w:tab w:val="left" w:pos="2160"/>
        </w:tabs>
        <w:spacing w:line="360" w:lineRule="auto"/>
        <w:rPr>
          <w:rFonts w:ascii="Times New Roman" w:hAnsi="Times New Roman" w:cs="Times New Roman"/>
          <w:b/>
          <w:sz w:val="28"/>
          <w:szCs w:val="28"/>
        </w:rPr>
      </w:pPr>
    </w:p>
    <w:p w:rsidR="00627721" w:rsidRDefault="00627721" w:rsidP="00627721">
      <w:pPr>
        <w:tabs>
          <w:tab w:val="left" w:pos="2160"/>
        </w:tabs>
        <w:spacing w:line="360" w:lineRule="auto"/>
        <w:rPr>
          <w:rFonts w:ascii="Times New Roman" w:hAnsi="Times New Roman" w:cs="Times New Roman"/>
          <w:b/>
          <w:sz w:val="28"/>
          <w:szCs w:val="28"/>
        </w:rPr>
      </w:pPr>
      <w:r>
        <w:rPr>
          <w:rFonts w:ascii="Times New Roman" w:hAnsi="Times New Roman" w:cs="Times New Roman"/>
          <w:b/>
          <w:sz w:val="28"/>
          <w:szCs w:val="28"/>
        </w:rPr>
        <w:t>BETWEEN:</w:t>
      </w:r>
    </w:p>
    <w:p w:rsidR="000F733B" w:rsidRDefault="000F733B" w:rsidP="00627721">
      <w:pPr>
        <w:rPr>
          <w:rFonts w:ascii="Times New Roman" w:hAnsi="Times New Roman" w:cs="Times New Roman"/>
          <w:b/>
          <w:sz w:val="28"/>
          <w:szCs w:val="28"/>
        </w:rPr>
      </w:pPr>
      <w:r>
        <w:rPr>
          <w:rFonts w:ascii="Times New Roman" w:hAnsi="Times New Roman" w:cs="Times New Roman"/>
          <w:b/>
          <w:sz w:val="28"/>
          <w:szCs w:val="28"/>
        </w:rPr>
        <w:t xml:space="preserve">COMMERCIAL DRIVERS REHABILITATION </w:t>
      </w:r>
    </w:p>
    <w:p w:rsidR="00627721" w:rsidRDefault="000F733B" w:rsidP="000F733B">
      <w:pPr>
        <w:rPr>
          <w:rFonts w:ascii="Times New Roman" w:hAnsi="Times New Roman" w:cs="Times New Roman"/>
          <w:b/>
          <w:sz w:val="28"/>
          <w:szCs w:val="28"/>
        </w:rPr>
      </w:pPr>
      <w:r>
        <w:rPr>
          <w:rFonts w:ascii="Times New Roman" w:hAnsi="Times New Roman" w:cs="Times New Roman"/>
          <w:b/>
          <w:sz w:val="28"/>
          <w:szCs w:val="28"/>
        </w:rPr>
        <w:t xml:space="preserve">CONSULTATIVE COUNCIL LIMITED                                </w:t>
      </w:r>
      <w:r w:rsidR="00627721">
        <w:rPr>
          <w:rFonts w:ascii="Times New Roman" w:hAnsi="Times New Roman" w:cs="Times New Roman"/>
          <w:b/>
          <w:sz w:val="28"/>
          <w:szCs w:val="28"/>
        </w:rPr>
        <w:t>PLAINTIFF</w:t>
      </w:r>
    </w:p>
    <w:p w:rsidR="00627721" w:rsidRDefault="00627721" w:rsidP="00627721">
      <w:pPr>
        <w:rPr>
          <w:rFonts w:ascii="Times New Roman" w:hAnsi="Times New Roman" w:cs="Times New Roman"/>
          <w:b/>
          <w:sz w:val="28"/>
          <w:szCs w:val="28"/>
        </w:rPr>
      </w:pPr>
      <w:r>
        <w:rPr>
          <w:rFonts w:ascii="Times New Roman" w:hAnsi="Times New Roman" w:cs="Times New Roman"/>
          <w:b/>
          <w:sz w:val="28"/>
          <w:szCs w:val="28"/>
        </w:rPr>
        <w:t>AND</w:t>
      </w:r>
    </w:p>
    <w:p w:rsidR="00627721" w:rsidRDefault="000F733B" w:rsidP="000F733B">
      <w:pPr>
        <w:rPr>
          <w:rFonts w:ascii="Times New Roman" w:hAnsi="Times New Roman" w:cs="Times New Roman"/>
          <w:b/>
          <w:sz w:val="28"/>
          <w:szCs w:val="28"/>
        </w:rPr>
      </w:pPr>
      <w:r>
        <w:rPr>
          <w:rFonts w:ascii="Times New Roman" w:hAnsi="Times New Roman" w:cs="Times New Roman"/>
          <w:b/>
          <w:sz w:val="28"/>
          <w:szCs w:val="28"/>
        </w:rPr>
        <w:t>JOINT BOARDER COMMITTEE</w:t>
      </w:r>
      <w:r w:rsidR="00627721">
        <w:rPr>
          <w:rFonts w:ascii="Times New Roman" w:hAnsi="Times New Roman" w:cs="Times New Roman"/>
          <w:b/>
          <w:sz w:val="28"/>
          <w:szCs w:val="28"/>
        </w:rPr>
        <w:t xml:space="preserve">                                          1</w:t>
      </w:r>
      <w:r w:rsidR="00627721" w:rsidRPr="000E0B01">
        <w:rPr>
          <w:rFonts w:ascii="Times New Roman" w:hAnsi="Times New Roman" w:cs="Times New Roman"/>
          <w:b/>
          <w:sz w:val="28"/>
          <w:szCs w:val="28"/>
          <w:vertAlign w:val="superscript"/>
        </w:rPr>
        <w:t>st</w:t>
      </w:r>
      <w:r w:rsidR="00627721">
        <w:rPr>
          <w:rFonts w:ascii="Times New Roman" w:hAnsi="Times New Roman" w:cs="Times New Roman"/>
          <w:b/>
          <w:sz w:val="28"/>
          <w:szCs w:val="28"/>
        </w:rPr>
        <w:t xml:space="preserve"> DEFENDANT</w:t>
      </w:r>
    </w:p>
    <w:p w:rsidR="00627721" w:rsidRDefault="000F733B" w:rsidP="00627721">
      <w:pPr>
        <w:rPr>
          <w:rFonts w:ascii="Times New Roman" w:hAnsi="Times New Roman" w:cs="Times New Roman"/>
          <w:b/>
          <w:sz w:val="28"/>
          <w:szCs w:val="28"/>
        </w:rPr>
      </w:pPr>
      <w:r>
        <w:rPr>
          <w:rFonts w:ascii="Times New Roman" w:hAnsi="Times New Roman" w:cs="Times New Roman"/>
          <w:b/>
          <w:sz w:val="28"/>
          <w:szCs w:val="28"/>
        </w:rPr>
        <w:t xml:space="preserve">F. MATEMBA                                  </w:t>
      </w:r>
      <w:r w:rsidR="00627721">
        <w:rPr>
          <w:rFonts w:ascii="Times New Roman" w:hAnsi="Times New Roman" w:cs="Times New Roman"/>
          <w:b/>
          <w:sz w:val="28"/>
          <w:szCs w:val="28"/>
        </w:rPr>
        <w:t xml:space="preserve">                                          2</w:t>
      </w:r>
      <w:r w:rsidR="00627721" w:rsidRPr="000E0B01">
        <w:rPr>
          <w:rFonts w:ascii="Times New Roman" w:hAnsi="Times New Roman" w:cs="Times New Roman"/>
          <w:b/>
          <w:sz w:val="28"/>
          <w:szCs w:val="28"/>
          <w:vertAlign w:val="superscript"/>
        </w:rPr>
        <w:t>nd</w:t>
      </w:r>
      <w:r w:rsidR="00627721">
        <w:rPr>
          <w:rFonts w:ascii="Times New Roman" w:hAnsi="Times New Roman" w:cs="Times New Roman"/>
          <w:b/>
          <w:sz w:val="28"/>
          <w:szCs w:val="28"/>
        </w:rPr>
        <w:t xml:space="preserve"> DEFENDANT</w:t>
      </w:r>
    </w:p>
    <w:p w:rsidR="00627721" w:rsidRDefault="00627721" w:rsidP="00627721">
      <w:pPr>
        <w:rPr>
          <w:rFonts w:ascii="Times New Roman" w:hAnsi="Times New Roman" w:cs="Times New Roman"/>
          <w:sz w:val="28"/>
          <w:szCs w:val="28"/>
        </w:rPr>
      </w:pPr>
      <w:r>
        <w:rPr>
          <w:rFonts w:ascii="Times New Roman" w:hAnsi="Times New Roman" w:cs="Times New Roman"/>
          <w:b/>
          <w:sz w:val="28"/>
          <w:szCs w:val="28"/>
        </w:rPr>
        <w:t xml:space="preserve">Coram: Justice M.A. Tembo, </w:t>
      </w:r>
    </w:p>
    <w:p w:rsidR="00627721" w:rsidRDefault="00627721" w:rsidP="000F733B">
      <w:pPr>
        <w:rPr>
          <w:rFonts w:ascii="Times New Roman" w:hAnsi="Times New Roman" w:cs="Times New Roman"/>
          <w:sz w:val="28"/>
          <w:szCs w:val="28"/>
        </w:rPr>
      </w:pPr>
      <w:r>
        <w:rPr>
          <w:rFonts w:ascii="Times New Roman" w:hAnsi="Times New Roman" w:cs="Times New Roman"/>
          <w:sz w:val="28"/>
          <w:szCs w:val="28"/>
        </w:rPr>
        <w:t xml:space="preserve">              </w:t>
      </w:r>
      <w:r w:rsidR="000F733B">
        <w:rPr>
          <w:rFonts w:ascii="Times New Roman" w:hAnsi="Times New Roman" w:cs="Times New Roman"/>
          <w:sz w:val="28"/>
          <w:szCs w:val="28"/>
        </w:rPr>
        <w:t>Mhango</w:t>
      </w:r>
      <w:r>
        <w:rPr>
          <w:rFonts w:ascii="Times New Roman" w:hAnsi="Times New Roman" w:cs="Times New Roman"/>
          <w:sz w:val="28"/>
          <w:szCs w:val="28"/>
        </w:rPr>
        <w:t>, Counsel for the Plaintiff</w:t>
      </w:r>
    </w:p>
    <w:p w:rsidR="00627721" w:rsidRDefault="000F733B" w:rsidP="00627721">
      <w:pPr>
        <w:rPr>
          <w:rFonts w:ascii="Times New Roman" w:hAnsi="Times New Roman" w:cs="Times New Roman"/>
          <w:sz w:val="28"/>
          <w:szCs w:val="28"/>
        </w:rPr>
      </w:pPr>
      <w:r>
        <w:rPr>
          <w:rFonts w:ascii="Times New Roman" w:hAnsi="Times New Roman" w:cs="Times New Roman"/>
          <w:sz w:val="28"/>
          <w:szCs w:val="28"/>
        </w:rPr>
        <w:t xml:space="preserve">              Kajani Banda</w:t>
      </w:r>
      <w:r w:rsidR="00627721">
        <w:rPr>
          <w:rFonts w:ascii="Times New Roman" w:hAnsi="Times New Roman" w:cs="Times New Roman"/>
          <w:sz w:val="28"/>
          <w:szCs w:val="28"/>
        </w:rPr>
        <w:t>, Counsel for the Defendant</w:t>
      </w:r>
      <w:r>
        <w:rPr>
          <w:rFonts w:ascii="Times New Roman" w:hAnsi="Times New Roman" w:cs="Times New Roman"/>
          <w:sz w:val="28"/>
          <w:szCs w:val="28"/>
        </w:rPr>
        <w:t>s</w:t>
      </w:r>
      <w:r w:rsidR="00627721">
        <w:rPr>
          <w:rFonts w:ascii="Times New Roman" w:hAnsi="Times New Roman" w:cs="Times New Roman"/>
          <w:sz w:val="28"/>
          <w:szCs w:val="28"/>
        </w:rPr>
        <w:t xml:space="preserve"> </w:t>
      </w:r>
    </w:p>
    <w:p w:rsidR="00627721" w:rsidRDefault="00627721" w:rsidP="00627721">
      <w:pPr>
        <w:rPr>
          <w:rFonts w:ascii="Times New Roman" w:hAnsi="Times New Roman" w:cs="Times New Roman"/>
          <w:sz w:val="28"/>
          <w:szCs w:val="28"/>
        </w:rPr>
      </w:pPr>
      <w:r>
        <w:rPr>
          <w:rFonts w:ascii="Times New Roman" w:hAnsi="Times New Roman" w:cs="Times New Roman"/>
          <w:sz w:val="28"/>
          <w:szCs w:val="28"/>
        </w:rPr>
        <w:t xml:space="preserve">              Mr Chitatu, Official Court Interpreter </w:t>
      </w:r>
    </w:p>
    <w:p w:rsidR="00627721" w:rsidRDefault="00627721" w:rsidP="00627721">
      <w:pPr>
        <w:rPr>
          <w:rFonts w:ascii="Times New Roman" w:hAnsi="Times New Roman" w:cs="Times New Roman"/>
          <w:sz w:val="28"/>
          <w:szCs w:val="28"/>
        </w:rPr>
      </w:pPr>
    </w:p>
    <w:p w:rsidR="00627721" w:rsidRDefault="00627721" w:rsidP="00627721">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ORDER</w:t>
      </w:r>
    </w:p>
    <w:p w:rsidR="00627721" w:rsidRDefault="00627721" w:rsidP="000F733B">
      <w:pPr>
        <w:jc w:val="both"/>
        <w:rPr>
          <w:rFonts w:ascii="Times New Roman" w:hAnsi="Times New Roman" w:cs="Times New Roman"/>
          <w:sz w:val="28"/>
          <w:szCs w:val="28"/>
        </w:rPr>
      </w:pPr>
      <w:r>
        <w:rPr>
          <w:rFonts w:ascii="Times New Roman" w:hAnsi="Times New Roman" w:cs="Times New Roman"/>
          <w:sz w:val="28"/>
          <w:szCs w:val="28"/>
        </w:rPr>
        <w:t>This is this court’s order on the plaintiff</w:t>
      </w:r>
      <w:r w:rsidR="000F733B">
        <w:rPr>
          <w:rFonts w:ascii="Times New Roman" w:hAnsi="Times New Roman" w:cs="Times New Roman"/>
          <w:sz w:val="28"/>
          <w:szCs w:val="28"/>
        </w:rPr>
        <w:t>’</w:t>
      </w:r>
      <w:r>
        <w:rPr>
          <w:rFonts w:ascii="Times New Roman" w:hAnsi="Times New Roman" w:cs="Times New Roman"/>
          <w:sz w:val="28"/>
          <w:szCs w:val="28"/>
        </w:rPr>
        <w:t xml:space="preserve">s application for </w:t>
      </w:r>
      <w:r w:rsidR="000F733B">
        <w:rPr>
          <w:rFonts w:ascii="Times New Roman" w:hAnsi="Times New Roman" w:cs="Times New Roman"/>
          <w:sz w:val="28"/>
          <w:szCs w:val="28"/>
        </w:rPr>
        <w:t xml:space="preserve">continuation of </w:t>
      </w:r>
      <w:r>
        <w:rPr>
          <w:rFonts w:ascii="Times New Roman" w:hAnsi="Times New Roman" w:cs="Times New Roman"/>
          <w:sz w:val="28"/>
          <w:szCs w:val="28"/>
        </w:rPr>
        <w:t>an order of injunction</w:t>
      </w:r>
      <w:r w:rsidR="000F733B">
        <w:rPr>
          <w:rFonts w:ascii="Times New Roman" w:hAnsi="Times New Roman" w:cs="Times New Roman"/>
          <w:sz w:val="28"/>
          <w:szCs w:val="28"/>
        </w:rPr>
        <w:t xml:space="preserve"> that was granted by this Court to the plaintiff ex parte on 6</w:t>
      </w:r>
      <w:r w:rsidR="000F733B" w:rsidRPr="000F733B">
        <w:rPr>
          <w:rFonts w:ascii="Times New Roman" w:hAnsi="Times New Roman" w:cs="Times New Roman"/>
          <w:sz w:val="28"/>
          <w:szCs w:val="28"/>
          <w:vertAlign w:val="superscript"/>
        </w:rPr>
        <w:t>th</w:t>
      </w:r>
      <w:r w:rsidR="000F733B">
        <w:rPr>
          <w:rFonts w:ascii="Times New Roman" w:hAnsi="Times New Roman" w:cs="Times New Roman"/>
          <w:sz w:val="28"/>
          <w:szCs w:val="28"/>
        </w:rPr>
        <w:t xml:space="preserve"> March 2014. That ex parte order restrained the defendants first from charging, demanding </w:t>
      </w:r>
      <w:r w:rsidR="000F733B">
        <w:rPr>
          <w:rFonts w:ascii="Times New Roman" w:hAnsi="Times New Roman" w:cs="Times New Roman"/>
          <w:sz w:val="28"/>
          <w:szCs w:val="28"/>
        </w:rPr>
        <w:lastRenderedPageBreak/>
        <w:t>and collecting parking fees from the drivers crossing the border at Mwanza or any other border and secondly from directing the border security personnel</w:t>
      </w:r>
      <w:r>
        <w:rPr>
          <w:rFonts w:ascii="Times New Roman" w:hAnsi="Times New Roman" w:cs="Times New Roman"/>
          <w:sz w:val="28"/>
          <w:szCs w:val="28"/>
        </w:rPr>
        <w:t xml:space="preserve"> </w:t>
      </w:r>
      <w:r w:rsidR="000F733B">
        <w:rPr>
          <w:rFonts w:ascii="Times New Roman" w:hAnsi="Times New Roman" w:cs="Times New Roman"/>
          <w:sz w:val="28"/>
          <w:szCs w:val="28"/>
        </w:rPr>
        <w:t>to restrain drivers from crossing such border until payment of parking fees. The plaintiff seeks continuation of the ex parte order and the defendants oppose the same.</w:t>
      </w:r>
    </w:p>
    <w:p w:rsidR="00627721" w:rsidRDefault="000F733B" w:rsidP="00627721">
      <w:pPr>
        <w:jc w:val="both"/>
        <w:rPr>
          <w:rFonts w:ascii="Times New Roman" w:hAnsi="Times New Roman" w:cs="Times New Roman"/>
          <w:sz w:val="28"/>
          <w:szCs w:val="28"/>
        </w:rPr>
      </w:pPr>
      <w:r>
        <w:rPr>
          <w:rFonts w:ascii="Times New Roman" w:hAnsi="Times New Roman" w:cs="Times New Roman"/>
          <w:sz w:val="28"/>
          <w:szCs w:val="28"/>
        </w:rPr>
        <w:t>The plaintiff</w:t>
      </w:r>
      <w:r w:rsidR="00627721">
        <w:rPr>
          <w:rFonts w:ascii="Times New Roman" w:hAnsi="Times New Roman" w:cs="Times New Roman"/>
          <w:sz w:val="28"/>
          <w:szCs w:val="28"/>
        </w:rPr>
        <w:t xml:space="preserve"> filed an affidavit in support of their application together with skeleton arguments. The defendant</w:t>
      </w:r>
      <w:r>
        <w:rPr>
          <w:rFonts w:ascii="Times New Roman" w:hAnsi="Times New Roman" w:cs="Times New Roman"/>
          <w:sz w:val="28"/>
          <w:szCs w:val="28"/>
        </w:rPr>
        <w:t>s</w:t>
      </w:r>
      <w:r w:rsidR="00627721">
        <w:rPr>
          <w:rFonts w:ascii="Times New Roman" w:hAnsi="Times New Roman" w:cs="Times New Roman"/>
          <w:sz w:val="28"/>
          <w:szCs w:val="28"/>
        </w:rPr>
        <w:t xml:space="preserve"> also filed an affidavit in opposition together with skeleton arguments. </w:t>
      </w:r>
    </w:p>
    <w:p w:rsidR="00E87BEA" w:rsidRDefault="00E87BEA" w:rsidP="00E87BEA">
      <w:pPr>
        <w:jc w:val="both"/>
        <w:rPr>
          <w:rFonts w:ascii="Times New Roman" w:hAnsi="Times New Roman" w:cs="Times New Roman"/>
          <w:sz w:val="28"/>
          <w:szCs w:val="28"/>
        </w:rPr>
      </w:pPr>
      <w:r>
        <w:rPr>
          <w:rFonts w:ascii="Times New Roman" w:hAnsi="Times New Roman" w:cs="Times New Roman"/>
          <w:sz w:val="28"/>
          <w:szCs w:val="28"/>
        </w:rPr>
        <w:t>The plaintiff’s</w:t>
      </w:r>
      <w:r w:rsidR="00627721">
        <w:rPr>
          <w:rFonts w:ascii="Times New Roman" w:hAnsi="Times New Roman" w:cs="Times New Roman"/>
          <w:sz w:val="28"/>
          <w:szCs w:val="28"/>
        </w:rPr>
        <w:t xml:space="preserve"> case is as follows.</w:t>
      </w:r>
      <w:r>
        <w:rPr>
          <w:rFonts w:ascii="Times New Roman" w:hAnsi="Times New Roman" w:cs="Times New Roman"/>
          <w:sz w:val="28"/>
          <w:szCs w:val="28"/>
        </w:rPr>
        <w:t xml:space="preserve"> The plaintiff is an organization registered under the Non Governmental Organizations Act and regulated by the Council for Non Governmental Organizations. The plaintiff represents its members who are drivers of commercial veh</w:t>
      </w:r>
      <w:r w:rsidR="00E102A8">
        <w:rPr>
          <w:rFonts w:ascii="Times New Roman" w:hAnsi="Times New Roman" w:cs="Times New Roman"/>
          <w:sz w:val="28"/>
          <w:szCs w:val="28"/>
        </w:rPr>
        <w:t>icles in Malawi plying cross bo</w:t>
      </w:r>
      <w:r>
        <w:rPr>
          <w:rFonts w:ascii="Times New Roman" w:hAnsi="Times New Roman" w:cs="Times New Roman"/>
          <w:sz w:val="28"/>
          <w:szCs w:val="28"/>
        </w:rPr>
        <w:t>rder business with</w:t>
      </w:r>
      <w:r w:rsidR="00E102A8">
        <w:rPr>
          <w:rFonts w:ascii="Times New Roman" w:hAnsi="Times New Roman" w:cs="Times New Roman"/>
          <w:sz w:val="28"/>
          <w:szCs w:val="28"/>
        </w:rPr>
        <w:t>in</w:t>
      </w:r>
      <w:r>
        <w:rPr>
          <w:rFonts w:ascii="Times New Roman" w:hAnsi="Times New Roman" w:cs="Times New Roman"/>
          <w:sz w:val="28"/>
          <w:szCs w:val="28"/>
        </w:rPr>
        <w:t xml:space="preserve"> Southern Africa and beyond. The plaintiff stands for and protects the interests of its members. </w:t>
      </w:r>
    </w:p>
    <w:p w:rsidR="00E87BEA" w:rsidRDefault="00E87BEA" w:rsidP="00E87BEA">
      <w:pPr>
        <w:jc w:val="both"/>
        <w:rPr>
          <w:rFonts w:ascii="Times New Roman" w:hAnsi="Times New Roman" w:cs="Times New Roman"/>
          <w:sz w:val="28"/>
          <w:szCs w:val="28"/>
        </w:rPr>
      </w:pPr>
      <w:r>
        <w:rPr>
          <w:rFonts w:ascii="Times New Roman" w:hAnsi="Times New Roman" w:cs="Times New Roman"/>
          <w:sz w:val="28"/>
          <w:szCs w:val="28"/>
        </w:rPr>
        <w:t>The members of the plaintiff noted that since January 2014 the 1</w:t>
      </w:r>
      <w:r w:rsidRPr="00E87BEA">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which is a committee operating at Mwanza Border, started levying parking fees within the border and had security agents to enforce the same. Any driver who does not pay the fee is not allowed to leave the parking lot a</w:t>
      </w:r>
      <w:r w:rsidR="008C69B4">
        <w:rPr>
          <w:rFonts w:ascii="Times New Roman" w:hAnsi="Times New Roman" w:cs="Times New Roman"/>
          <w:sz w:val="28"/>
          <w:szCs w:val="28"/>
        </w:rPr>
        <w:t>t the border. The plaintiff i</w:t>
      </w:r>
      <w:r>
        <w:rPr>
          <w:rFonts w:ascii="Times New Roman" w:hAnsi="Times New Roman" w:cs="Times New Roman"/>
          <w:sz w:val="28"/>
          <w:szCs w:val="28"/>
        </w:rPr>
        <w:t>s aggrieved with the state of affairs given that the 1</w:t>
      </w:r>
      <w:r w:rsidRPr="00E87BEA">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and </w:t>
      </w:r>
      <w:r w:rsidR="00A26F05">
        <w:rPr>
          <w:rFonts w:ascii="Times New Roman" w:hAnsi="Times New Roman" w:cs="Times New Roman"/>
          <w:sz w:val="28"/>
          <w:szCs w:val="28"/>
        </w:rPr>
        <w:t xml:space="preserve">its agent </w:t>
      </w:r>
      <w:r>
        <w:rPr>
          <w:rFonts w:ascii="Times New Roman" w:hAnsi="Times New Roman" w:cs="Times New Roman"/>
          <w:sz w:val="28"/>
          <w:szCs w:val="28"/>
        </w:rPr>
        <w:t>the 2</w:t>
      </w:r>
      <w:r w:rsidRPr="00E87BEA">
        <w:rPr>
          <w:rFonts w:ascii="Times New Roman" w:hAnsi="Times New Roman" w:cs="Times New Roman"/>
          <w:sz w:val="28"/>
          <w:szCs w:val="28"/>
          <w:vertAlign w:val="superscript"/>
        </w:rPr>
        <w:t>nd</w:t>
      </w:r>
      <w:r w:rsidR="00A26F05">
        <w:rPr>
          <w:rFonts w:ascii="Times New Roman" w:hAnsi="Times New Roman" w:cs="Times New Roman"/>
          <w:sz w:val="28"/>
          <w:szCs w:val="28"/>
        </w:rPr>
        <w:t xml:space="preserve"> defendant do not have legal authority to levy the parking fees. The plaintiff submitted that the power to levy parking fees vests in the local authorities in terms of section 95 of the Road Traffic Act. In essence the plaintiff submitted that the defendants cannot show any such authority or delegated authority to levy parking fees. The plaintiff argued that its members suffer inconvenience not only to pay the f</w:t>
      </w:r>
      <w:r w:rsidR="008C69B4">
        <w:rPr>
          <w:rFonts w:ascii="Times New Roman" w:hAnsi="Times New Roman" w:cs="Times New Roman"/>
          <w:sz w:val="28"/>
          <w:szCs w:val="28"/>
        </w:rPr>
        <w:t>ee but when they do not pay the unlawful</w:t>
      </w:r>
      <w:r w:rsidR="00A26F05">
        <w:rPr>
          <w:rFonts w:ascii="Times New Roman" w:hAnsi="Times New Roman" w:cs="Times New Roman"/>
          <w:sz w:val="28"/>
          <w:szCs w:val="28"/>
        </w:rPr>
        <w:t xml:space="preserve"> fees they are not allowed to leave and get locked up at the parking lot which is within the border area where they park their vehicles to process customs clearance formalities.  </w:t>
      </w:r>
      <w:r>
        <w:rPr>
          <w:rFonts w:ascii="Times New Roman" w:hAnsi="Times New Roman" w:cs="Times New Roman"/>
          <w:sz w:val="28"/>
          <w:szCs w:val="28"/>
        </w:rPr>
        <w:t xml:space="preserve"> </w:t>
      </w:r>
      <w:r w:rsidR="00627721">
        <w:rPr>
          <w:rFonts w:ascii="Times New Roman" w:hAnsi="Times New Roman" w:cs="Times New Roman"/>
          <w:sz w:val="28"/>
          <w:szCs w:val="28"/>
        </w:rPr>
        <w:t xml:space="preserve"> </w:t>
      </w:r>
    </w:p>
    <w:p w:rsidR="00627721" w:rsidRDefault="00E87BEA" w:rsidP="00E87BEA">
      <w:pPr>
        <w:jc w:val="both"/>
        <w:rPr>
          <w:rFonts w:ascii="Times New Roman" w:hAnsi="Times New Roman" w:cs="Times New Roman"/>
          <w:sz w:val="28"/>
          <w:szCs w:val="28"/>
        </w:rPr>
      </w:pPr>
      <w:r>
        <w:rPr>
          <w:rFonts w:ascii="Times New Roman" w:hAnsi="Times New Roman" w:cs="Times New Roman"/>
          <w:sz w:val="28"/>
          <w:szCs w:val="28"/>
        </w:rPr>
        <w:t>In the foregoing premises the plaintiff</w:t>
      </w:r>
      <w:r w:rsidR="00627721">
        <w:rPr>
          <w:rFonts w:ascii="Times New Roman" w:hAnsi="Times New Roman" w:cs="Times New Roman"/>
          <w:sz w:val="28"/>
          <w:szCs w:val="28"/>
        </w:rPr>
        <w:t xml:space="preserve"> seek</w:t>
      </w:r>
      <w:r>
        <w:rPr>
          <w:rFonts w:ascii="Times New Roman" w:hAnsi="Times New Roman" w:cs="Times New Roman"/>
          <w:sz w:val="28"/>
          <w:szCs w:val="28"/>
        </w:rPr>
        <w:t xml:space="preserve">s continuation of the </w:t>
      </w:r>
      <w:r w:rsidR="00627721">
        <w:rPr>
          <w:rFonts w:ascii="Times New Roman" w:hAnsi="Times New Roman" w:cs="Times New Roman"/>
          <w:sz w:val="28"/>
          <w:szCs w:val="28"/>
        </w:rPr>
        <w:t>injunction pending the determination of the action herein</w:t>
      </w:r>
      <w:r w:rsidR="000213EF">
        <w:rPr>
          <w:rFonts w:ascii="Times New Roman" w:hAnsi="Times New Roman" w:cs="Times New Roman"/>
          <w:sz w:val="28"/>
          <w:szCs w:val="28"/>
        </w:rPr>
        <w:t xml:space="preserve"> where, among other things, the plaintiff seeks a declaration that the levying of the parking fees by the defendants is unlawful</w:t>
      </w:r>
      <w:r w:rsidR="00627721">
        <w:rPr>
          <w:rFonts w:ascii="Times New Roman" w:hAnsi="Times New Roman" w:cs="Times New Roman"/>
          <w:sz w:val="28"/>
          <w:szCs w:val="28"/>
        </w:rPr>
        <w:t>.</w:t>
      </w:r>
    </w:p>
    <w:p w:rsidR="00860BC5" w:rsidRDefault="00627721" w:rsidP="00E77DD6">
      <w:pPr>
        <w:jc w:val="both"/>
        <w:rPr>
          <w:rFonts w:ascii="Times New Roman" w:hAnsi="Times New Roman" w:cs="Times New Roman"/>
          <w:sz w:val="28"/>
          <w:szCs w:val="28"/>
        </w:rPr>
      </w:pPr>
      <w:r>
        <w:rPr>
          <w:rFonts w:ascii="Times New Roman" w:hAnsi="Times New Roman" w:cs="Times New Roman"/>
          <w:sz w:val="28"/>
          <w:szCs w:val="28"/>
        </w:rPr>
        <w:t>On the other hand the case of the</w:t>
      </w:r>
      <w:r w:rsidR="00E87BEA">
        <w:rPr>
          <w:rFonts w:ascii="Times New Roman" w:hAnsi="Times New Roman" w:cs="Times New Roman"/>
          <w:sz w:val="28"/>
          <w:szCs w:val="28"/>
        </w:rPr>
        <w:t xml:space="preserve"> </w:t>
      </w:r>
      <w:r>
        <w:rPr>
          <w:rFonts w:ascii="Times New Roman" w:hAnsi="Times New Roman" w:cs="Times New Roman"/>
          <w:sz w:val="28"/>
          <w:szCs w:val="28"/>
        </w:rPr>
        <w:t>defendant</w:t>
      </w:r>
      <w:r w:rsidR="00E87BEA">
        <w:rPr>
          <w:rFonts w:ascii="Times New Roman" w:hAnsi="Times New Roman" w:cs="Times New Roman"/>
          <w:sz w:val="28"/>
          <w:szCs w:val="28"/>
        </w:rPr>
        <w:t>s</w:t>
      </w:r>
      <w:r>
        <w:rPr>
          <w:rFonts w:ascii="Times New Roman" w:hAnsi="Times New Roman" w:cs="Times New Roman"/>
          <w:sz w:val="28"/>
          <w:szCs w:val="28"/>
        </w:rPr>
        <w:t xml:space="preserve"> is that </w:t>
      </w:r>
      <w:r w:rsidR="00A26F05">
        <w:rPr>
          <w:rFonts w:ascii="Times New Roman" w:hAnsi="Times New Roman" w:cs="Times New Roman"/>
          <w:sz w:val="28"/>
          <w:szCs w:val="28"/>
        </w:rPr>
        <w:t>they are</w:t>
      </w:r>
      <w:r w:rsidR="00006DB1">
        <w:rPr>
          <w:rFonts w:ascii="Times New Roman" w:hAnsi="Times New Roman" w:cs="Times New Roman"/>
          <w:sz w:val="28"/>
          <w:szCs w:val="28"/>
        </w:rPr>
        <w:t xml:space="preserve"> a</w:t>
      </w:r>
      <w:r w:rsidR="00A26F05">
        <w:rPr>
          <w:rFonts w:ascii="Times New Roman" w:hAnsi="Times New Roman" w:cs="Times New Roman"/>
          <w:sz w:val="28"/>
          <w:szCs w:val="28"/>
        </w:rPr>
        <w:t xml:space="preserve"> committee comprising various heads of institut</w:t>
      </w:r>
      <w:r w:rsidR="000213EF">
        <w:rPr>
          <w:rFonts w:ascii="Times New Roman" w:hAnsi="Times New Roman" w:cs="Times New Roman"/>
          <w:sz w:val="28"/>
          <w:szCs w:val="28"/>
        </w:rPr>
        <w:t>ions operating at the Mwanza Bo</w:t>
      </w:r>
      <w:r w:rsidR="00A26F05">
        <w:rPr>
          <w:rFonts w:ascii="Times New Roman" w:hAnsi="Times New Roman" w:cs="Times New Roman"/>
          <w:sz w:val="28"/>
          <w:szCs w:val="28"/>
        </w:rPr>
        <w:t xml:space="preserve">rder namely </w:t>
      </w:r>
      <w:r w:rsidR="00A26F05">
        <w:rPr>
          <w:rFonts w:ascii="Times New Roman" w:hAnsi="Times New Roman" w:cs="Times New Roman"/>
          <w:sz w:val="28"/>
          <w:szCs w:val="28"/>
        </w:rPr>
        <w:lastRenderedPageBreak/>
        <w:t>Road Traffic Directorate, Department of Immigration and others. The Committee was formed essentially to improve competitiveness of the Mwanza Border</w:t>
      </w:r>
      <w:r w:rsidR="00995585">
        <w:rPr>
          <w:rFonts w:ascii="Times New Roman" w:hAnsi="Times New Roman" w:cs="Times New Roman"/>
          <w:sz w:val="28"/>
          <w:szCs w:val="28"/>
        </w:rPr>
        <w:t>,</w:t>
      </w:r>
      <w:r w:rsidR="00A26F05">
        <w:rPr>
          <w:rFonts w:ascii="Times New Roman" w:hAnsi="Times New Roman" w:cs="Times New Roman"/>
          <w:sz w:val="28"/>
          <w:szCs w:val="28"/>
        </w:rPr>
        <w:t xml:space="preserve"> with foreign financing</w:t>
      </w:r>
      <w:r w:rsidR="00E77DD6">
        <w:rPr>
          <w:rFonts w:ascii="Times New Roman" w:hAnsi="Times New Roman" w:cs="Times New Roman"/>
          <w:sz w:val="28"/>
          <w:szCs w:val="28"/>
        </w:rPr>
        <w:t xml:space="preserve"> namely, from the United States Agency for International development</w:t>
      </w:r>
      <w:r w:rsidR="00A26F05">
        <w:rPr>
          <w:rFonts w:ascii="Times New Roman" w:hAnsi="Times New Roman" w:cs="Times New Roman"/>
          <w:sz w:val="28"/>
          <w:szCs w:val="28"/>
        </w:rPr>
        <w:t>. The defendants are not able to show a legal mandate entitling them to levy parking fees as alleged by the plaintiff.</w:t>
      </w:r>
      <w:r w:rsidR="00E77DD6">
        <w:rPr>
          <w:rFonts w:ascii="Times New Roman" w:hAnsi="Times New Roman" w:cs="Times New Roman"/>
          <w:sz w:val="28"/>
          <w:szCs w:val="28"/>
        </w:rPr>
        <w:t xml:space="preserve"> The motivation for the parking fee however appears to be noble as the fees are meant to be used to improve the situation at Mwanza border </w:t>
      </w:r>
      <w:r w:rsidR="00006DB1">
        <w:rPr>
          <w:rFonts w:ascii="Times New Roman" w:hAnsi="Times New Roman" w:cs="Times New Roman"/>
          <w:sz w:val="28"/>
          <w:szCs w:val="28"/>
        </w:rPr>
        <w:t xml:space="preserve">in </w:t>
      </w:r>
      <w:r w:rsidR="00E77DD6">
        <w:rPr>
          <w:rFonts w:ascii="Times New Roman" w:hAnsi="Times New Roman" w:cs="Times New Roman"/>
          <w:sz w:val="28"/>
          <w:szCs w:val="28"/>
        </w:rPr>
        <w:t>such</w:t>
      </w:r>
      <w:r w:rsidR="00006DB1">
        <w:rPr>
          <w:rFonts w:ascii="Times New Roman" w:hAnsi="Times New Roman" w:cs="Times New Roman"/>
          <w:sz w:val="28"/>
          <w:szCs w:val="28"/>
        </w:rPr>
        <w:t xml:space="preserve"> matters</w:t>
      </w:r>
      <w:r w:rsidR="00E77DD6">
        <w:rPr>
          <w:rFonts w:ascii="Times New Roman" w:hAnsi="Times New Roman" w:cs="Times New Roman"/>
          <w:sz w:val="28"/>
          <w:szCs w:val="28"/>
        </w:rPr>
        <w:t xml:space="preserve"> as sanitation</w:t>
      </w:r>
      <w:r w:rsidR="00006DB1">
        <w:rPr>
          <w:rFonts w:ascii="Times New Roman" w:hAnsi="Times New Roman" w:cs="Times New Roman"/>
          <w:sz w:val="28"/>
          <w:szCs w:val="28"/>
        </w:rPr>
        <w:t xml:space="preserve"> among others</w:t>
      </w:r>
      <w:r w:rsidR="00E77DD6">
        <w:rPr>
          <w:rFonts w:ascii="Times New Roman" w:hAnsi="Times New Roman" w:cs="Times New Roman"/>
          <w:sz w:val="28"/>
          <w:szCs w:val="28"/>
        </w:rPr>
        <w:t xml:space="preserve">.  </w:t>
      </w:r>
    </w:p>
    <w:p w:rsidR="00627721" w:rsidRDefault="00860BC5" w:rsidP="00E77DD6">
      <w:pPr>
        <w:jc w:val="both"/>
        <w:rPr>
          <w:rFonts w:ascii="Times New Roman" w:hAnsi="Times New Roman" w:cs="Times New Roman"/>
          <w:sz w:val="28"/>
          <w:szCs w:val="28"/>
        </w:rPr>
      </w:pPr>
      <w:r>
        <w:rPr>
          <w:rFonts w:ascii="Times New Roman" w:hAnsi="Times New Roman" w:cs="Times New Roman"/>
          <w:sz w:val="28"/>
          <w:szCs w:val="28"/>
        </w:rPr>
        <w:t>The defendants argue mainly that the injunction in this matter will result in the 1</w:t>
      </w:r>
      <w:r w:rsidRPr="00A41110">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committee losing funding for its activities since the foreign financing it gets is under a project which has a particular timeframe</w:t>
      </w:r>
      <w:r w:rsidR="00635575">
        <w:rPr>
          <w:rFonts w:ascii="Times New Roman" w:hAnsi="Times New Roman" w:cs="Times New Roman"/>
          <w:sz w:val="28"/>
          <w:szCs w:val="28"/>
        </w:rPr>
        <w:t xml:space="preserve"> which timeframe they will not meet due to the injunction</w:t>
      </w:r>
      <w:r>
        <w:rPr>
          <w:rFonts w:ascii="Times New Roman" w:hAnsi="Times New Roman" w:cs="Times New Roman"/>
          <w:sz w:val="28"/>
          <w:szCs w:val="28"/>
        </w:rPr>
        <w:t>. Loss of funding will make the Mwanza border less competitive as the 1</w:t>
      </w:r>
      <w:r w:rsidRPr="00A41110">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will be unable to carry out its planned activities in the absence of such fund</w:t>
      </w:r>
      <w:r w:rsidR="00635575">
        <w:rPr>
          <w:rFonts w:ascii="Times New Roman" w:hAnsi="Times New Roman" w:cs="Times New Roman"/>
          <w:sz w:val="28"/>
          <w:szCs w:val="28"/>
        </w:rPr>
        <w:t>ing</w:t>
      </w:r>
      <w:r>
        <w:rPr>
          <w:rFonts w:ascii="Times New Roman" w:hAnsi="Times New Roman" w:cs="Times New Roman"/>
          <w:sz w:val="28"/>
          <w:szCs w:val="28"/>
        </w:rPr>
        <w:t xml:space="preserve">. The defendants argue that therefore the balance of convenience lies in </w:t>
      </w:r>
      <w:r w:rsidR="00635575">
        <w:rPr>
          <w:rFonts w:ascii="Times New Roman" w:hAnsi="Times New Roman" w:cs="Times New Roman"/>
          <w:sz w:val="28"/>
          <w:szCs w:val="28"/>
        </w:rPr>
        <w:t xml:space="preserve">favour of </w:t>
      </w:r>
      <w:r>
        <w:rPr>
          <w:rFonts w:ascii="Times New Roman" w:hAnsi="Times New Roman" w:cs="Times New Roman"/>
          <w:sz w:val="28"/>
          <w:szCs w:val="28"/>
        </w:rPr>
        <w:t xml:space="preserve">discharging the injunction in this matter. </w:t>
      </w:r>
      <w:r w:rsidR="00A26F05">
        <w:rPr>
          <w:rFonts w:ascii="Times New Roman" w:hAnsi="Times New Roman" w:cs="Times New Roman"/>
          <w:sz w:val="28"/>
          <w:szCs w:val="28"/>
        </w:rPr>
        <w:t xml:space="preserve">  </w:t>
      </w:r>
    </w:p>
    <w:p w:rsidR="00627721" w:rsidRDefault="00627721" w:rsidP="00627721">
      <w:pPr>
        <w:jc w:val="both"/>
        <w:rPr>
          <w:rFonts w:ascii="Times New Roman" w:hAnsi="Times New Roman" w:cs="Times New Roman"/>
          <w:sz w:val="28"/>
          <w:szCs w:val="28"/>
        </w:rPr>
      </w:pPr>
      <w:r>
        <w:rPr>
          <w:rFonts w:ascii="Times New Roman" w:hAnsi="Times New Roman" w:cs="Times New Roman"/>
          <w:sz w:val="28"/>
          <w:szCs w:val="28"/>
        </w:rPr>
        <w:t xml:space="preserve">This Court is aware of the applicable law on interim injunctions as </w:t>
      </w:r>
      <w:r w:rsidR="00E77DD6">
        <w:rPr>
          <w:rFonts w:ascii="Times New Roman" w:hAnsi="Times New Roman" w:cs="Times New Roman"/>
          <w:sz w:val="28"/>
          <w:szCs w:val="28"/>
        </w:rPr>
        <w:t>submitted by both the plaintiff</w:t>
      </w:r>
      <w:r>
        <w:rPr>
          <w:rFonts w:ascii="Times New Roman" w:hAnsi="Times New Roman" w:cs="Times New Roman"/>
          <w:sz w:val="28"/>
          <w:szCs w:val="28"/>
        </w:rPr>
        <w:t xml:space="preserve"> and the defendant</w:t>
      </w:r>
      <w:r w:rsidR="00E77DD6">
        <w:rPr>
          <w:rFonts w:ascii="Times New Roman" w:hAnsi="Times New Roman" w:cs="Times New Roman"/>
          <w:sz w:val="28"/>
          <w:szCs w:val="28"/>
        </w:rPr>
        <w:t>s</w:t>
      </w:r>
      <w:r w:rsidR="00635575">
        <w:rPr>
          <w:rFonts w:ascii="Times New Roman" w:hAnsi="Times New Roman" w:cs="Times New Roman"/>
          <w:sz w:val="28"/>
          <w:szCs w:val="28"/>
        </w:rPr>
        <w:t>. The c</w:t>
      </w:r>
      <w:r>
        <w:rPr>
          <w:rFonts w:ascii="Times New Roman" w:hAnsi="Times New Roman" w:cs="Times New Roman"/>
          <w:sz w:val="28"/>
          <w:szCs w:val="28"/>
        </w:rPr>
        <w:t>ourt will grant an interim injunction where the applicant discloses a good arguable claim to the right he seeks to protect. The court will not try to determine the issues on affidavit evidence but it will be enough if the plaintiff shows that there is a serious question to be tried. If the plaintiff has shown that he has a good arguable claim and that there is a serious question for trial then the court will consider whether the balance of convenience favours the granting of the interim order of injunction. See</w:t>
      </w:r>
      <w:r w:rsidR="00635575">
        <w:rPr>
          <w:rFonts w:ascii="Times New Roman" w:hAnsi="Times New Roman" w:cs="Times New Roman"/>
          <w:sz w:val="28"/>
          <w:szCs w:val="28"/>
        </w:rPr>
        <w:t xml:space="preserve"> </w:t>
      </w:r>
      <w:r w:rsidR="00635575">
        <w:rPr>
          <w:rFonts w:ascii="Times New Roman" w:hAnsi="Times New Roman" w:cs="Times New Roman"/>
          <w:i/>
          <w:iCs/>
          <w:sz w:val="28"/>
          <w:szCs w:val="28"/>
        </w:rPr>
        <w:t xml:space="preserve">Mkwanda v New Building Society </w:t>
      </w:r>
      <w:r w:rsidR="00635575">
        <w:rPr>
          <w:rFonts w:ascii="Times New Roman" w:hAnsi="Times New Roman" w:cs="Times New Roman"/>
          <w:sz w:val="28"/>
          <w:szCs w:val="28"/>
        </w:rPr>
        <w:t>[1997] 1 MLR 210,</w:t>
      </w:r>
      <w:r>
        <w:rPr>
          <w:rFonts w:ascii="Times New Roman" w:hAnsi="Times New Roman" w:cs="Times New Roman"/>
          <w:sz w:val="28"/>
          <w:szCs w:val="28"/>
        </w:rPr>
        <w:t xml:space="preserve"> </w:t>
      </w:r>
      <w:r>
        <w:rPr>
          <w:rFonts w:ascii="Times New Roman" w:hAnsi="Times New Roman" w:cs="Times New Roman"/>
          <w:i/>
          <w:iCs/>
          <w:sz w:val="28"/>
          <w:szCs w:val="28"/>
        </w:rPr>
        <w:t xml:space="preserve">Kanyuka v Chiumia </w:t>
      </w:r>
      <w:r>
        <w:rPr>
          <w:rFonts w:ascii="Times New Roman" w:hAnsi="Times New Roman" w:cs="Times New Roman"/>
          <w:sz w:val="28"/>
          <w:szCs w:val="28"/>
        </w:rPr>
        <w:t xml:space="preserve">civil cause number 58 of 2003 (High Court) (unreported); </w:t>
      </w:r>
      <w:r>
        <w:rPr>
          <w:rFonts w:ascii="Times New Roman" w:hAnsi="Times New Roman" w:cs="Times New Roman"/>
          <w:i/>
          <w:iCs/>
          <w:sz w:val="28"/>
          <w:szCs w:val="28"/>
        </w:rPr>
        <w:t>Tembo v Chakuamba</w:t>
      </w:r>
      <w:r>
        <w:rPr>
          <w:rFonts w:ascii="Times New Roman" w:hAnsi="Times New Roman" w:cs="Times New Roman"/>
          <w:sz w:val="28"/>
          <w:szCs w:val="28"/>
        </w:rPr>
        <w:t xml:space="preserve"> MSCA Civi</w:t>
      </w:r>
      <w:r w:rsidR="00635575">
        <w:rPr>
          <w:rFonts w:ascii="Times New Roman" w:hAnsi="Times New Roman" w:cs="Times New Roman"/>
          <w:sz w:val="28"/>
          <w:szCs w:val="28"/>
        </w:rPr>
        <w:t xml:space="preserve">l Appeal Number 30 of 2001 </w:t>
      </w:r>
      <w:r>
        <w:rPr>
          <w:rFonts w:ascii="Times New Roman" w:hAnsi="Times New Roman" w:cs="Times New Roman"/>
          <w:sz w:val="28"/>
          <w:szCs w:val="28"/>
        </w:rPr>
        <w:t>citing the famous</w:t>
      </w:r>
      <w:r w:rsidR="00510BD9">
        <w:rPr>
          <w:rFonts w:ascii="Times New Roman" w:hAnsi="Times New Roman" w:cs="Times New Roman"/>
          <w:sz w:val="28"/>
          <w:szCs w:val="28"/>
        </w:rPr>
        <w:t xml:space="preserve"> case on the subject of injunctions</w:t>
      </w:r>
      <w:r>
        <w:rPr>
          <w:rFonts w:ascii="Times New Roman" w:hAnsi="Times New Roman" w:cs="Times New Roman"/>
          <w:sz w:val="28"/>
          <w:szCs w:val="28"/>
        </w:rPr>
        <w:t xml:space="preserve"> </w:t>
      </w:r>
      <w:r>
        <w:rPr>
          <w:rFonts w:ascii="Times New Roman" w:hAnsi="Times New Roman" w:cs="Times New Roman"/>
          <w:i/>
          <w:iCs/>
          <w:sz w:val="28"/>
          <w:szCs w:val="28"/>
        </w:rPr>
        <w:t xml:space="preserve">American Cynamid  Co. v Ethicon Ltd </w:t>
      </w:r>
      <w:r>
        <w:rPr>
          <w:rFonts w:ascii="Times New Roman" w:hAnsi="Times New Roman" w:cs="Times New Roman"/>
          <w:sz w:val="28"/>
          <w:szCs w:val="28"/>
        </w:rPr>
        <w:t xml:space="preserve">[1975] 2 WLR 316. The result is that the court is required to investigate the merits to a limited extent only. All that needs to be shown is that the claimant’s cause of action has substance and reality. Beyond that, it does not matter if the claimant’s chance of winning is 90 per cent or 20 per cent. See  </w:t>
      </w:r>
      <w:r>
        <w:rPr>
          <w:rFonts w:ascii="Times New Roman" w:hAnsi="Times New Roman" w:cs="Times New Roman"/>
          <w:i/>
          <w:iCs/>
          <w:sz w:val="28"/>
          <w:szCs w:val="28"/>
        </w:rPr>
        <w:t>Mothercare Ltd v Robson Books Ltd</w:t>
      </w:r>
      <w:r>
        <w:rPr>
          <w:rFonts w:ascii="Times New Roman" w:hAnsi="Times New Roman" w:cs="Times New Roman"/>
          <w:sz w:val="28"/>
          <w:szCs w:val="28"/>
        </w:rPr>
        <w:t xml:space="preserve"> [1979] FSR 466 per Megarry V-C at p. 474; </w:t>
      </w:r>
      <w:r>
        <w:rPr>
          <w:rFonts w:ascii="Times New Roman" w:hAnsi="Times New Roman" w:cs="Times New Roman"/>
          <w:i/>
          <w:iCs/>
          <w:sz w:val="28"/>
          <w:szCs w:val="28"/>
        </w:rPr>
        <w:t>Alfred Dunhill Ltd v Sunoptic SA</w:t>
      </w:r>
      <w:r>
        <w:rPr>
          <w:rFonts w:ascii="Times New Roman" w:hAnsi="Times New Roman" w:cs="Times New Roman"/>
          <w:sz w:val="28"/>
          <w:szCs w:val="28"/>
        </w:rPr>
        <w:t xml:space="preserve"> [1979] FSR 337 per Megaw LJ at p. 373.</w:t>
      </w:r>
    </w:p>
    <w:p w:rsidR="00627721" w:rsidRDefault="00627721" w:rsidP="00627721">
      <w:pPr>
        <w:jc w:val="both"/>
        <w:rPr>
          <w:rFonts w:ascii="Times New Roman" w:hAnsi="Times New Roman" w:cs="Times New Roman"/>
          <w:sz w:val="28"/>
          <w:szCs w:val="28"/>
        </w:rPr>
      </w:pPr>
      <w:r>
        <w:rPr>
          <w:rFonts w:ascii="Times New Roman" w:hAnsi="Times New Roman" w:cs="Times New Roman"/>
          <w:sz w:val="28"/>
          <w:szCs w:val="28"/>
        </w:rPr>
        <w:t xml:space="preserve">The first question this Court has to resolve </w:t>
      </w:r>
      <w:r w:rsidR="00E77DD6">
        <w:rPr>
          <w:rFonts w:ascii="Times New Roman" w:hAnsi="Times New Roman" w:cs="Times New Roman"/>
          <w:sz w:val="28"/>
          <w:szCs w:val="28"/>
        </w:rPr>
        <w:t>is whether the plaintiff has</w:t>
      </w:r>
      <w:r>
        <w:rPr>
          <w:rFonts w:ascii="Times New Roman" w:hAnsi="Times New Roman" w:cs="Times New Roman"/>
          <w:sz w:val="28"/>
          <w:szCs w:val="28"/>
        </w:rPr>
        <w:t xml:space="preserve"> disclosed a good </w:t>
      </w:r>
      <w:r w:rsidR="00510BD9">
        <w:rPr>
          <w:rFonts w:ascii="Times New Roman" w:hAnsi="Times New Roman" w:cs="Times New Roman"/>
          <w:sz w:val="28"/>
          <w:szCs w:val="28"/>
        </w:rPr>
        <w:t>arguable claim to the right it</w:t>
      </w:r>
      <w:r>
        <w:rPr>
          <w:rFonts w:ascii="Times New Roman" w:hAnsi="Times New Roman" w:cs="Times New Roman"/>
          <w:sz w:val="28"/>
          <w:szCs w:val="28"/>
        </w:rPr>
        <w:t xml:space="preserve"> seek</w:t>
      </w:r>
      <w:r w:rsidR="00510BD9">
        <w:rPr>
          <w:rFonts w:ascii="Times New Roman" w:hAnsi="Times New Roman" w:cs="Times New Roman"/>
          <w:sz w:val="28"/>
          <w:szCs w:val="28"/>
        </w:rPr>
        <w:t>s</w:t>
      </w:r>
      <w:r>
        <w:rPr>
          <w:rFonts w:ascii="Times New Roman" w:hAnsi="Times New Roman" w:cs="Times New Roman"/>
          <w:sz w:val="28"/>
          <w:szCs w:val="28"/>
        </w:rPr>
        <w:t xml:space="preserve"> to protect. </w:t>
      </w:r>
    </w:p>
    <w:p w:rsidR="00627721" w:rsidRDefault="00627721" w:rsidP="00E77DD6">
      <w:pPr>
        <w:jc w:val="both"/>
        <w:rPr>
          <w:rFonts w:ascii="Times New Roman" w:hAnsi="Times New Roman" w:cs="Times New Roman"/>
          <w:sz w:val="28"/>
          <w:szCs w:val="28"/>
        </w:rPr>
      </w:pPr>
      <w:r>
        <w:rPr>
          <w:rFonts w:ascii="Times New Roman" w:hAnsi="Times New Roman" w:cs="Times New Roman"/>
          <w:sz w:val="28"/>
          <w:szCs w:val="28"/>
        </w:rPr>
        <w:lastRenderedPageBreak/>
        <w:t>The plaintiff argue</w:t>
      </w:r>
      <w:r w:rsidR="00E77DD6">
        <w:rPr>
          <w:rFonts w:ascii="Times New Roman" w:hAnsi="Times New Roman" w:cs="Times New Roman"/>
          <w:sz w:val="28"/>
          <w:szCs w:val="28"/>
        </w:rPr>
        <w:t>s</w:t>
      </w:r>
      <w:r>
        <w:rPr>
          <w:rFonts w:ascii="Times New Roman" w:hAnsi="Times New Roman" w:cs="Times New Roman"/>
          <w:sz w:val="28"/>
          <w:szCs w:val="28"/>
        </w:rPr>
        <w:t xml:space="preserve"> that they have </w:t>
      </w:r>
      <w:r w:rsidR="00E77DD6">
        <w:rPr>
          <w:rFonts w:ascii="Times New Roman" w:hAnsi="Times New Roman" w:cs="Times New Roman"/>
          <w:sz w:val="28"/>
          <w:szCs w:val="28"/>
        </w:rPr>
        <w:t xml:space="preserve">a </w:t>
      </w:r>
      <w:r>
        <w:rPr>
          <w:rFonts w:ascii="Times New Roman" w:hAnsi="Times New Roman" w:cs="Times New Roman"/>
          <w:sz w:val="28"/>
          <w:szCs w:val="28"/>
        </w:rPr>
        <w:t xml:space="preserve">right </w:t>
      </w:r>
      <w:r w:rsidR="00E77DD6">
        <w:rPr>
          <w:rFonts w:ascii="Times New Roman" w:hAnsi="Times New Roman" w:cs="Times New Roman"/>
          <w:sz w:val="28"/>
          <w:szCs w:val="28"/>
        </w:rPr>
        <w:t>to protection from paying fees that are not legally sanctioned in accordance with the law. As well as protection from attendant harassment and detention of vehicles for failure to pay such fees.</w:t>
      </w:r>
    </w:p>
    <w:p w:rsidR="00E77DD6" w:rsidRDefault="00627721" w:rsidP="00E77DD6">
      <w:pPr>
        <w:jc w:val="both"/>
        <w:rPr>
          <w:rFonts w:ascii="Times New Roman" w:hAnsi="Times New Roman" w:cs="Times New Roman"/>
          <w:sz w:val="28"/>
          <w:szCs w:val="28"/>
        </w:rPr>
      </w:pPr>
      <w:r>
        <w:rPr>
          <w:rFonts w:ascii="Times New Roman" w:hAnsi="Times New Roman" w:cs="Times New Roman"/>
          <w:sz w:val="28"/>
          <w:szCs w:val="28"/>
        </w:rPr>
        <w:t>On the other hand, the defendant</w:t>
      </w:r>
      <w:r w:rsidR="00E77DD6">
        <w:rPr>
          <w:rFonts w:ascii="Times New Roman" w:hAnsi="Times New Roman" w:cs="Times New Roman"/>
          <w:sz w:val="28"/>
          <w:szCs w:val="28"/>
        </w:rPr>
        <w:t>s</w:t>
      </w:r>
      <w:r>
        <w:rPr>
          <w:rFonts w:ascii="Times New Roman" w:hAnsi="Times New Roman" w:cs="Times New Roman"/>
          <w:sz w:val="28"/>
          <w:szCs w:val="28"/>
        </w:rPr>
        <w:t xml:space="preserve"> </w:t>
      </w:r>
      <w:r w:rsidR="00E77DD6">
        <w:rPr>
          <w:rFonts w:ascii="Times New Roman" w:hAnsi="Times New Roman" w:cs="Times New Roman"/>
          <w:sz w:val="28"/>
          <w:szCs w:val="28"/>
        </w:rPr>
        <w:t>do concede that there are</w:t>
      </w:r>
      <w:r>
        <w:rPr>
          <w:rFonts w:ascii="Times New Roman" w:hAnsi="Times New Roman" w:cs="Times New Roman"/>
          <w:sz w:val="28"/>
          <w:szCs w:val="28"/>
        </w:rPr>
        <w:t xml:space="preserve"> triable issue</w:t>
      </w:r>
      <w:r w:rsidR="00E77DD6">
        <w:rPr>
          <w:rFonts w:ascii="Times New Roman" w:hAnsi="Times New Roman" w:cs="Times New Roman"/>
          <w:sz w:val="28"/>
          <w:szCs w:val="28"/>
        </w:rPr>
        <w:t>s on the question of the legal mandate of the defendants to levy parking fees given that the 1</w:t>
      </w:r>
      <w:r w:rsidR="00E77DD6" w:rsidRPr="00E77DD6">
        <w:rPr>
          <w:rFonts w:ascii="Times New Roman" w:hAnsi="Times New Roman" w:cs="Times New Roman"/>
          <w:sz w:val="28"/>
          <w:szCs w:val="28"/>
          <w:vertAlign w:val="superscript"/>
        </w:rPr>
        <w:t>st</w:t>
      </w:r>
      <w:r w:rsidR="00E77DD6">
        <w:rPr>
          <w:rFonts w:ascii="Times New Roman" w:hAnsi="Times New Roman" w:cs="Times New Roman"/>
          <w:sz w:val="28"/>
          <w:szCs w:val="28"/>
        </w:rPr>
        <w:t xml:space="preserve"> defendant Committee originated from initiatives associated with the foreign donor</w:t>
      </w:r>
      <w:r w:rsidR="00510BD9">
        <w:rPr>
          <w:rFonts w:ascii="Times New Roman" w:hAnsi="Times New Roman" w:cs="Times New Roman"/>
          <w:sz w:val="28"/>
          <w:szCs w:val="28"/>
        </w:rPr>
        <w:t>,</w:t>
      </w:r>
      <w:r w:rsidR="00E77DD6">
        <w:rPr>
          <w:rFonts w:ascii="Times New Roman" w:hAnsi="Times New Roman" w:cs="Times New Roman"/>
          <w:sz w:val="28"/>
          <w:szCs w:val="28"/>
        </w:rPr>
        <w:t xml:space="preserve"> the United States Agency for International Development</w:t>
      </w:r>
      <w:r>
        <w:rPr>
          <w:rFonts w:ascii="Times New Roman" w:hAnsi="Times New Roman" w:cs="Times New Roman"/>
          <w:sz w:val="28"/>
          <w:szCs w:val="28"/>
        </w:rPr>
        <w:t xml:space="preserve">. </w:t>
      </w:r>
    </w:p>
    <w:p w:rsidR="00627721" w:rsidRDefault="00246C1E" w:rsidP="00A41110">
      <w:pPr>
        <w:jc w:val="both"/>
        <w:rPr>
          <w:rFonts w:ascii="Times New Roman" w:hAnsi="Times New Roman" w:cs="Times New Roman"/>
          <w:sz w:val="28"/>
          <w:szCs w:val="28"/>
        </w:rPr>
      </w:pPr>
      <w:r>
        <w:rPr>
          <w:rFonts w:ascii="Times New Roman" w:hAnsi="Times New Roman" w:cs="Times New Roman"/>
          <w:sz w:val="28"/>
          <w:szCs w:val="28"/>
        </w:rPr>
        <w:t>I</w:t>
      </w:r>
      <w:r w:rsidR="00627721">
        <w:rPr>
          <w:rFonts w:ascii="Times New Roman" w:hAnsi="Times New Roman" w:cs="Times New Roman"/>
          <w:sz w:val="28"/>
          <w:szCs w:val="28"/>
        </w:rPr>
        <w:t>n the</w:t>
      </w:r>
      <w:r w:rsidR="00E77DD6">
        <w:rPr>
          <w:rFonts w:ascii="Times New Roman" w:hAnsi="Times New Roman" w:cs="Times New Roman"/>
          <w:sz w:val="28"/>
          <w:szCs w:val="28"/>
        </w:rPr>
        <w:t>se circumstances, the plaintiff has</w:t>
      </w:r>
      <w:r w:rsidR="00627721">
        <w:rPr>
          <w:rFonts w:ascii="Times New Roman" w:hAnsi="Times New Roman" w:cs="Times New Roman"/>
          <w:sz w:val="28"/>
          <w:szCs w:val="28"/>
        </w:rPr>
        <w:t xml:space="preserve"> an arguable claim to </w:t>
      </w:r>
      <w:r>
        <w:rPr>
          <w:rFonts w:ascii="Times New Roman" w:hAnsi="Times New Roman" w:cs="Times New Roman"/>
          <w:sz w:val="28"/>
          <w:szCs w:val="28"/>
        </w:rPr>
        <w:t xml:space="preserve">the right it seeks to protect on behalf of its members. The right being protection from subjection to payment of fees that are not sanctioned by law and the attendant consequences on failure to pay such fees. </w:t>
      </w:r>
      <w:r w:rsidR="00627721">
        <w:rPr>
          <w:rFonts w:ascii="Times New Roman" w:hAnsi="Times New Roman" w:cs="Times New Roman"/>
          <w:sz w:val="28"/>
          <w:szCs w:val="28"/>
        </w:rPr>
        <w:t>That is a claim that appears to have substance and reality and deserves a day at trial.</w:t>
      </w:r>
    </w:p>
    <w:p w:rsidR="00627721" w:rsidRDefault="00627721" w:rsidP="00A41110">
      <w:pPr>
        <w:jc w:val="both"/>
        <w:rPr>
          <w:rFonts w:ascii="Times New Roman" w:hAnsi="Times New Roman" w:cs="Times New Roman"/>
          <w:sz w:val="28"/>
          <w:szCs w:val="28"/>
        </w:rPr>
      </w:pPr>
      <w:r>
        <w:rPr>
          <w:rFonts w:ascii="Times New Roman" w:hAnsi="Times New Roman" w:cs="Times New Roman"/>
          <w:sz w:val="28"/>
          <w:szCs w:val="28"/>
        </w:rPr>
        <w:t>This Court ther</w:t>
      </w:r>
      <w:r w:rsidR="00510BD9">
        <w:rPr>
          <w:rFonts w:ascii="Times New Roman" w:hAnsi="Times New Roman" w:cs="Times New Roman"/>
          <w:sz w:val="28"/>
          <w:szCs w:val="28"/>
        </w:rPr>
        <w:t>efore agrees with the plaintiff and the defendant</w:t>
      </w:r>
      <w:r>
        <w:rPr>
          <w:rFonts w:ascii="Times New Roman" w:hAnsi="Times New Roman" w:cs="Times New Roman"/>
          <w:sz w:val="28"/>
          <w:szCs w:val="28"/>
        </w:rPr>
        <w:t xml:space="preserve"> that on the affidavit evidence there is a triable issue to go to trial in relation to the plaintiff</w:t>
      </w:r>
      <w:r w:rsidR="00A41110">
        <w:rPr>
          <w:rFonts w:ascii="Times New Roman" w:hAnsi="Times New Roman" w:cs="Times New Roman"/>
          <w:sz w:val="28"/>
          <w:szCs w:val="28"/>
        </w:rPr>
        <w:t>’</w:t>
      </w:r>
      <w:r>
        <w:rPr>
          <w:rFonts w:ascii="Times New Roman" w:hAnsi="Times New Roman" w:cs="Times New Roman"/>
          <w:sz w:val="28"/>
          <w:szCs w:val="28"/>
        </w:rPr>
        <w:t xml:space="preserve">s </w:t>
      </w:r>
      <w:r w:rsidR="00A41110">
        <w:rPr>
          <w:rFonts w:ascii="Times New Roman" w:hAnsi="Times New Roman" w:cs="Times New Roman"/>
          <w:sz w:val="28"/>
          <w:szCs w:val="28"/>
        </w:rPr>
        <w:t xml:space="preserve">members </w:t>
      </w:r>
      <w:r>
        <w:rPr>
          <w:rFonts w:ascii="Times New Roman" w:hAnsi="Times New Roman" w:cs="Times New Roman"/>
          <w:sz w:val="28"/>
          <w:szCs w:val="28"/>
        </w:rPr>
        <w:t xml:space="preserve">rights </w:t>
      </w:r>
      <w:r w:rsidR="00A41110">
        <w:rPr>
          <w:rFonts w:ascii="Times New Roman" w:hAnsi="Times New Roman" w:cs="Times New Roman"/>
          <w:sz w:val="28"/>
          <w:szCs w:val="28"/>
        </w:rPr>
        <w:t>it</w:t>
      </w:r>
      <w:r>
        <w:rPr>
          <w:rFonts w:ascii="Times New Roman" w:hAnsi="Times New Roman" w:cs="Times New Roman"/>
          <w:sz w:val="28"/>
          <w:szCs w:val="28"/>
        </w:rPr>
        <w:t xml:space="preserve"> seek</w:t>
      </w:r>
      <w:r w:rsidR="00A41110">
        <w:rPr>
          <w:rFonts w:ascii="Times New Roman" w:hAnsi="Times New Roman" w:cs="Times New Roman"/>
          <w:sz w:val="28"/>
          <w:szCs w:val="28"/>
        </w:rPr>
        <w:t>s</w:t>
      </w:r>
      <w:r>
        <w:rPr>
          <w:rFonts w:ascii="Times New Roman" w:hAnsi="Times New Roman" w:cs="Times New Roman"/>
          <w:sz w:val="28"/>
          <w:szCs w:val="28"/>
        </w:rPr>
        <w:t xml:space="preserve"> to protect.</w:t>
      </w:r>
    </w:p>
    <w:p w:rsidR="00510BD9" w:rsidRDefault="00627721" w:rsidP="00A41110">
      <w:pPr>
        <w:jc w:val="both"/>
        <w:rPr>
          <w:rFonts w:ascii="Times New Roman" w:hAnsi="Times New Roman" w:cs="Times New Roman"/>
          <w:sz w:val="28"/>
          <w:szCs w:val="28"/>
        </w:rPr>
      </w:pPr>
      <w:r>
        <w:rPr>
          <w:rFonts w:ascii="Times New Roman" w:hAnsi="Times New Roman" w:cs="Times New Roman"/>
          <w:sz w:val="28"/>
          <w:szCs w:val="28"/>
        </w:rPr>
        <w:t xml:space="preserve">This Court then has to consider the question whether damages would be an adequate remedy to either party if the injunction is granted or vice versa and it turns out later that the court should have arrived at a different decision on the granting of the injunction.  Where damages at common law would be an adequate remedy and defendant would be able to pay them, an interlocutory order of injunction should be refused, irrespective of the strength of plaintiff’s claim. See </w:t>
      </w:r>
      <w:r>
        <w:rPr>
          <w:rFonts w:ascii="Times New Roman" w:hAnsi="Times New Roman" w:cs="Times New Roman"/>
          <w:i/>
          <w:iCs/>
          <w:sz w:val="28"/>
          <w:szCs w:val="28"/>
        </w:rPr>
        <w:t xml:space="preserve">Mkwamba v Indefund Ltd </w:t>
      </w:r>
      <w:r>
        <w:rPr>
          <w:rFonts w:ascii="Times New Roman" w:hAnsi="Times New Roman" w:cs="Times New Roman"/>
          <w:sz w:val="28"/>
          <w:szCs w:val="28"/>
        </w:rPr>
        <w:t>[1990] 13 MLR 244</w:t>
      </w:r>
      <w:r w:rsidR="00635575">
        <w:rPr>
          <w:rFonts w:ascii="Times New Roman" w:hAnsi="Times New Roman" w:cs="Times New Roman"/>
          <w:sz w:val="28"/>
          <w:szCs w:val="28"/>
        </w:rPr>
        <w:t xml:space="preserve">, </w:t>
      </w:r>
      <w:r w:rsidR="00635575">
        <w:rPr>
          <w:rFonts w:ascii="Times New Roman" w:hAnsi="Times New Roman" w:cs="Times New Roman"/>
          <w:i/>
          <w:iCs/>
          <w:sz w:val="28"/>
          <w:szCs w:val="28"/>
        </w:rPr>
        <w:t xml:space="preserve">ICL Malawi Ltd v Lilongwe Water Board </w:t>
      </w:r>
      <w:r w:rsidR="00635575">
        <w:rPr>
          <w:rFonts w:ascii="Times New Roman" w:hAnsi="Times New Roman" w:cs="Times New Roman"/>
          <w:sz w:val="28"/>
          <w:szCs w:val="28"/>
        </w:rPr>
        <w:t>civil cause number 64 of 1998 (High Court) (unreported)</w:t>
      </w:r>
      <w:r>
        <w:rPr>
          <w:rFonts w:ascii="Times New Roman" w:hAnsi="Times New Roman" w:cs="Times New Roman"/>
          <w:sz w:val="28"/>
          <w:szCs w:val="28"/>
        </w:rPr>
        <w:t xml:space="preserve">. </w:t>
      </w:r>
    </w:p>
    <w:p w:rsidR="00A41110" w:rsidRDefault="00A41110" w:rsidP="00A41110">
      <w:pPr>
        <w:jc w:val="both"/>
        <w:rPr>
          <w:rFonts w:ascii="Times New Roman" w:hAnsi="Times New Roman" w:cs="Times New Roman"/>
          <w:sz w:val="28"/>
          <w:szCs w:val="28"/>
        </w:rPr>
      </w:pPr>
      <w:r>
        <w:rPr>
          <w:rFonts w:ascii="Times New Roman" w:hAnsi="Times New Roman" w:cs="Times New Roman"/>
          <w:sz w:val="28"/>
          <w:szCs w:val="28"/>
        </w:rPr>
        <w:t>The view of the plaintiff is that damages will not be an adequate remedy because despite that the fees are quantifiable, the inconvenience on failure to pay them is not quantifiable. This is so because the plaintiff’s members are not allowed to leave the border post when they fail to pay the fee and this is very inconveniencing. The defendants argued that the fees are easily quantifiable and so damages are an adequate remedy in this case.</w:t>
      </w:r>
    </w:p>
    <w:p w:rsidR="00A41110" w:rsidRDefault="00A41110" w:rsidP="00A41110">
      <w:pPr>
        <w:jc w:val="both"/>
        <w:rPr>
          <w:rFonts w:ascii="Times New Roman" w:hAnsi="Times New Roman" w:cs="Times New Roman"/>
          <w:sz w:val="28"/>
          <w:szCs w:val="28"/>
        </w:rPr>
      </w:pPr>
      <w:r>
        <w:rPr>
          <w:rFonts w:ascii="Times New Roman" w:hAnsi="Times New Roman" w:cs="Times New Roman"/>
          <w:sz w:val="28"/>
          <w:szCs w:val="28"/>
        </w:rPr>
        <w:t xml:space="preserve">This Court is persuaded by the plaintiff’s argument that despite the fact that fees paid are quantifiable and this Court can order reimbursement of the same, the </w:t>
      </w:r>
      <w:r>
        <w:rPr>
          <w:rFonts w:ascii="Times New Roman" w:hAnsi="Times New Roman" w:cs="Times New Roman"/>
          <w:sz w:val="28"/>
          <w:szCs w:val="28"/>
        </w:rPr>
        <w:lastRenderedPageBreak/>
        <w:t xml:space="preserve">inconvenience that attends on failure to pay the fee is one which cannot be quantified and consequently damages would not be an adequate remedy to that extent. </w:t>
      </w:r>
    </w:p>
    <w:p w:rsidR="00627721" w:rsidRDefault="00627721" w:rsidP="00A41110">
      <w:pPr>
        <w:jc w:val="both"/>
        <w:rPr>
          <w:rFonts w:ascii="Times New Roman" w:hAnsi="Times New Roman" w:cs="Times New Roman"/>
          <w:sz w:val="28"/>
          <w:szCs w:val="28"/>
        </w:rPr>
      </w:pPr>
      <w:r>
        <w:rPr>
          <w:rFonts w:ascii="Times New Roman" w:hAnsi="Times New Roman" w:cs="Times New Roman"/>
          <w:sz w:val="28"/>
          <w:szCs w:val="28"/>
        </w:rPr>
        <w:t>This Court will then have to consider whether the balance of convenience favours the granting of an injunction herein or not.</w:t>
      </w:r>
    </w:p>
    <w:p w:rsidR="00627721" w:rsidRDefault="00627721" w:rsidP="00627721">
      <w:pPr>
        <w:jc w:val="both"/>
        <w:rPr>
          <w:rFonts w:ascii="Times New Roman" w:hAnsi="Times New Roman" w:cs="Times New Roman"/>
          <w:sz w:val="28"/>
          <w:szCs w:val="28"/>
        </w:rPr>
      </w:pPr>
      <w:r>
        <w:rPr>
          <w:rFonts w:ascii="Times New Roman" w:hAnsi="Times New Roman" w:cs="Times New Roman"/>
          <w:sz w:val="28"/>
          <w:szCs w:val="28"/>
        </w:rPr>
        <w:t xml:space="preserve">As rightly submitted by both parties, most injunction cases are determined on the balance of convenience. In </w:t>
      </w:r>
      <w:r>
        <w:rPr>
          <w:rFonts w:ascii="Times New Roman" w:hAnsi="Times New Roman" w:cs="Times New Roman"/>
          <w:i/>
          <w:iCs/>
          <w:sz w:val="28"/>
          <w:szCs w:val="28"/>
        </w:rPr>
        <w:t>American Cyanamid Co. v Ethicon Ltd</w:t>
      </w:r>
      <w:r>
        <w:rPr>
          <w:rFonts w:ascii="Times New Roman" w:hAnsi="Times New Roman" w:cs="Times New Roman"/>
          <w:sz w:val="28"/>
          <w:szCs w:val="28"/>
        </w:rPr>
        <w:t xml:space="preserve"> [1975] AC 396 Lord Diplock said, at p. 408:</w:t>
      </w:r>
    </w:p>
    <w:p w:rsidR="00627721" w:rsidRDefault="00627721" w:rsidP="00627721">
      <w:pPr>
        <w:ind w:left="720"/>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 . it would be unwise to attempt even to list all the various matters which may need to be taken into consideration in deciding where the balance lies, let alone to suggest the relative weight to be attached to them. These will vary from case to case.</w:t>
      </w:r>
    </w:p>
    <w:p w:rsidR="00627721" w:rsidRDefault="00627721" w:rsidP="00627721">
      <w:pPr>
        <w:jc w:val="both"/>
        <w:rPr>
          <w:rFonts w:ascii="Times New Roman" w:hAnsi="Times New Roman" w:cs="Times New Roman"/>
          <w:sz w:val="28"/>
          <w:szCs w:val="28"/>
        </w:rPr>
      </w:pPr>
      <w:r>
        <w:rPr>
          <w:rFonts w:ascii="Times New Roman" w:hAnsi="Times New Roman" w:cs="Times New Roman"/>
          <w:sz w:val="28"/>
          <w:szCs w:val="28"/>
        </w:rPr>
        <w:t xml:space="preserve">In other cases, such as </w:t>
      </w:r>
      <w:r>
        <w:rPr>
          <w:rFonts w:ascii="Times New Roman" w:hAnsi="Times New Roman" w:cs="Times New Roman"/>
          <w:i/>
          <w:iCs/>
          <w:sz w:val="28"/>
          <w:szCs w:val="28"/>
        </w:rPr>
        <w:t>Cayne v Global Natural Resources plc</w:t>
      </w:r>
      <w:r>
        <w:rPr>
          <w:rFonts w:ascii="Times New Roman" w:hAnsi="Times New Roman" w:cs="Times New Roman"/>
          <w:sz w:val="28"/>
          <w:szCs w:val="28"/>
        </w:rPr>
        <w:t xml:space="preserve"> [1984] 1 All ER 225, the courts have insisted that it is not mere convenience that needs to be weighed, but the risk of doing an injustice to one side or the other. Lord Diplock in </w:t>
      </w:r>
      <w:r>
        <w:rPr>
          <w:rFonts w:ascii="Times New Roman" w:hAnsi="Times New Roman" w:cs="Times New Roman"/>
          <w:i/>
          <w:iCs/>
          <w:sz w:val="28"/>
          <w:szCs w:val="28"/>
        </w:rPr>
        <w:t>American Cyanamid Co. v Ethicon Ltd</w:t>
      </w:r>
      <w:r>
        <w:rPr>
          <w:rFonts w:ascii="Times New Roman" w:hAnsi="Times New Roman" w:cs="Times New Roman"/>
          <w:sz w:val="28"/>
          <w:szCs w:val="28"/>
        </w:rPr>
        <w:t xml:space="preserve"> said the extent to which the disadvantages to each party would be incapable of being compensated in damages is always a significant factor in assessing where the balance of convenience lies.</w:t>
      </w:r>
    </w:p>
    <w:p w:rsidR="00627721" w:rsidRDefault="00627721" w:rsidP="00627721">
      <w:pPr>
        <w:jc w:val="both"/>
        <w:rPr>
          <w:rFonts w:ascii="Times New Roman" w:hAnsi="Times New Roman" w:cs="Times New Roman"/>
          <w:sz w:val="28"/>
          <w:szCs w:val="28"/>
        </w:rPr>
      </w:pPr>
      <w:r>
        <w:rPr>
          <w:rFonts w:ascii="Times New Roman" w:hAnsi="Times New Roman" w:cs="Times New Roman"/>
          <w:sz w:val="28"/>
          <w:szCs w:val="28"/>
        </w:rPr>
        <w:t xml:space="preserve">In </w:t>
      </w:r>
      <w:r>
        <w:rPr>
          <w:rFonts w:ascii="Times New Roman" w:hAnsi="Times New Roman" w:cs="Times New Roman"/>
          <w:i/>
          <w:iCs/>
          <w:sz w:val="28"/>
          <w:szCs w:val="28"/>
        </w:rPr>
        <w:t>American Cyanamid Co. v Ethicon Ltd</w:t>
      </w:r>
      <w:r>
        <w:rPr>
          <w:rFonts w:ascii="Times New Roman" w:hAnsi="Times New Roman" w:cs="Times New Roman"/>
          <w:sz w:val="28"/>
          <w:szCs w:val="28"/>
        </w:rPr>
        <w:t xml:space="preserve"> Lord Diplock said at p. 408 that, in considering the balance of convenience: ‘Where other factors appear to be evenly balanced it is a counsel of prudence to take such measures as are calculated to preserve the status quo’. From </w:t>
      </w:r>
      <w:r>
        <w:rPr>
          <w:rFonts w:ascii="Times New Roman" w:hAnsi="Times New Roman" w:cs="Times New Roman"/>
          <w:i/>
          <w:iCs/>
          <w:sz w:val="28"/>
          <w:szCs w:val="28"/>
        </w:rPr>
        <w:t>Garden Cottage Foods Ltd v Milk Marketing Board</w:t>
      </w:r>
      <w:r>
        <w:rPr>
          <w:rFonts w:ascii="Times New Roman" w:hAnsi="Times New Roman" w:cs="Times New Roman"/>
          <w:sz w:val="28"/>
          <w:szCs w:val="28"/>
        </w:rPr>
        <w:t xml:space="preserve"> [1984] AC 130, it appears that the status quo ante is the state of affairs before the defendant started the conduct complained of, unless there has been unreasonable delay, when it is the state of affairs immediately before the application.</w:t>
      </w:r>
    </w:p>
    <w:p w:rsidR="000C00BF" w:rsidRDefault="00627721" w:rsidP="00A41110">
      <w:pPr>
        <w:jc w:val="both"/>
        <w:rPr>
          <w:rFonts w:ascii="Times New Roman" w:hAnsi="Times New Roman" w:cs="Times New Roman"/>
          <w:sz w:val="28"/>
          <w:szCs w:val="28"/>
        </w:rPr>
      </w:pPr>
      <w:r>
        <w:rPr>
          <w:rFonts w:ascii="Times New Roman" w:hAnsi="Times New Roman" w:cs="Times New Roman"/>
          <w:sz w:val="28"/>
          <w:szCs w:val="28"/>
        </w:rPr>
        <w:t xml:space="preserve">The </w:t>
      </w:r>
      <w:r w:rsidR="002E6F29">
        <w:rPr>
          <w:rFonts w:ascii="Times New Roman" w:hAnsi="Times New Roman" w:cs="Times New Roman"/>
          <w:sz w:val="28"/>
          <w:szCs w:val="28"/>
        </w:rPr>
        <w:t>defendants argue</w:t>
      </w:r>
      <w:r w:rsidR="00A41110">
        <w:rPr>
          <w:rFonts w:ascii="Times New Roman" w:hAnsi="Times New Roman" w:cs="Times New Roman"/>
          <w:sz w:val="28"/>
          <w:szCs w:val="28"/>
        </w:rPr>
        <w:t xml:space="preserve"> that the injunction in this matter will result in the 1</w:t>
      </w:r>
      <w:r w:rsidR="00A41110" w:rsidRPr="00A41110">
        <w:rPr>
          <w:rFonts w:ascii="Times New Roman" w:hAnsi="Times New Roman" w:cs="Times New Roman"/>
          <w:sz w:val="28"/>
          <w:szCs w:val="28"/>
          <w:vertAlign w:val="superscript"/>
        </w:rPr>
        <w:t>st</w:t>
      </w:r>
      <w:r w:rsidR="00A41110">
        <w:rPr>
          <w:rFonts w:ascii="Times New Roman" w:hAnsi="Times New Roman" w:cs="Times New Roman"/>
          <w:sz w:val="28"/>
          <w:szCs w:val="28"/>
        </w:rPr>
        <w:t xml:space="preserve"> defendant committee losing funding for its activities since the financing it gets is under a project which has a particular timeframe. Loss of funding will make the Mwanza border less competitive as the 1</w:t>
      </w:r>
      <w:r w:rsidR="00A41110" w:rsidRPr="00A41110">
        <w:rPr>
          <w:rFonts w:ascii="Times New Roman" w:hAnsi="Times New Roman" w:cs="Times New Roman"/>
          <w:sz w:val="28"/>
          <w:szCs w:val="28"/>
          <w:vertAlign w:val="superscript"/>
        </w:rPr>
        <w:t>st</w:t>
      </w:r>
      <w:r w:rsidR="00A41110">
        <w:rPr>
          <w:rFonts w:ascii="Times New Roman" w:hAnsi="Times New Roman" w:cs="Times New Roman"/>
          <w:sz w:val="28"/>
          <w:szCs w:val="28"/>
        </w:rPr>
        <w:t xml:space="preserve"> defendant will be unable to carry out its plans. </w:t>
      </w:r>
      <w:r w:rsidR="000C00BF">
        <w:rPr>
          <w:rFonts w:ascii="Times New Roman" w:hAnsi="Times New Roman" w:cs="Times New Roman"/>
          <w:sz w:val="28"/>
          <w:szCs w:val="28"/>
        </w:rPr>
        <w:t xml:space="preserve">The defendants argue that therefore the balance of convenience lies in discharging the injunction in this matter. </w:t>
      </w:r>
      <w:r w:rsidR="00A41110">
        <w:rPr>
          <w:rFonts w:ascii="Times New Roman" w:hAnsi="Times New Roman" w:cs="Times New Roman"/>
          <w:sz w:val="28"/>
          <w:szCs w:val="28"/>
        </w:rPr>
        <w:t>On the other hand, the plaintiff</w:t>
      </w:r>
      <w:r w:rsidR="000C00BF">
        <w:rPr>
          <w:rFonts w:ascii="Times New Roman" w:hAnsi="Times New Roman" w:cs="Times New Roman"/>
          <w:sz w:val="28"/>
          <w:szCs w:val="28"/>
        </w:rPr>
        <w:t xml:space="preserve"> argues that the balance of convenience lies in continuing the injunction to stop the levying of the unlawful fees and attendant consequences on failure to pay the fees.</w:t>
      </w:r>
    </w:p>
    <w:p w:rsidR="002E6F29" w:rsidRDefault="000C00BF" w:rsidP="00A41110">
      <w:pPr>
        <w:jc w:val="both"/>
        <w:rPr>
          <w:rFonts w:ascii="Times New Roman" w:hAnsi="Times New Roman" w:cs="Times New Roman"/>
          <w:sz w:val="28"/>
          <w:szCs w:val="28"/>
        </w:rPr>
      </w:pPr>
      <w:r>
        <w:rPr>
          <w:rFonts w:ascii="Times New Roman" w:hAnsi="Times New Roman" w:cs="Times New Roman"/>
          <w:sz w:val="28"/>
          <w:szCs w:val="28"/>
        </w:rPr>
        <w:lastRenderedPageBreak/>
        <w:t>This Court is persuaded that the intentions of the defendants though noble ought to be properly grounded in law. The levying of fees ought to have a legal basis otherwise such levying of fees is unlawful. Since the defendants are unable to show the legal mandate, such as local authority bye-laws, by which they are authorized to levy the parking fees that tips the balance in favour of continuing the injunction granted ex parte in this matter.</w:t>
      </w:r>
    </w:p>
    <w:p w:rsidR="002E6F29" w:rsidRDefault="002E6F29" w:rsidP="00A41110">
      <w:pPr>
        <w:jc w:val="both"/>
        <w:rPr>
          <w:rFonts w:ascii="Times New Roman" w:hAnsi="Times New Roman" w:cs="Times New Roman"/>
          <w:sz w:val="28"/>
          <w:szCs w:val="28"/>
        </w:rPr>
      </w:pPr>
      <w:r>
        <w:rPr>
          <w:rFonts w:ascii="Times New Roman" w:hAnsi="Times New Roman" w:cs="Times New Roman"/>
          <w:sz w:val="28"/>
          <w:szCs w:val="28"/>
        </w:rPr>
        <w:t>The defendants raised a related matter that the plaintiff’s members</w:t>
      </w:r>
      <w:r w:rsidR="00D93973">
        <w:rPr>
          <w:rFonts w:ascii="Times New Roman" w:hAnsi="Times New Roman" w:cs="Times New Roman"/>
          <w:sz w:val="28"/>
          <w:szCs w:val="28"/>
        </w:rPr>
        <w:t>,</w:t>
      </w:r>
      <w:r>
        <w:rPr>
          <w:rFonts w:ascii="Times New Roman" w:hAnsi="Times New Roman" w:cs="Times New Roman"/>
          <w:sz w:val="28"/>
          <w:szCs w:val="28"/>
        </w:rPr>
        <w:t xml:space="preserve"> </w:t>
      </w:r>
      <w:r w:rsidR="00D93973">
        <w:rPr>
          <w:rFonts w:ascii="Times New Roman" w:hAnsi="Times New Roman" w:cs="Times New Roman"/>
          <w:sz w:val="28"/>
          <w:szCs w:val="28"/>
        </w:rPr>
        <w:t xml:space="preserve">the truck drivers, </w:t>
      </w:r>
      <w:r>
        <w:rPr>
          <w:rFonts w:ascii="Times New Roman" w:hAnsi="Times New Roman" w:cs="Times New Roman"/>
          <w:sz w:val="28"/>
          <w:szCs w:val="28"/>
        </w:rPr>
        <w:t>are employees of members of the Road Transport Operators Association who own trucks. The Road Transport Operators Association is a member of the 1</w:t>
      </w:r>
      <w:r w:rsidRPr="002E6F29">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The 1</w:t>
      </w:r>
      <w:r w:rsidRPr="002E6F29">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wonders why the members of the plaintiff are against the levying of the parking fees and yet their employers are agreeable to the same and actually provide the fees to the drivers members of the plaintiff. The plaintiff replied that the drivers who are its members have not seen a circular advising truck owners to provide </w:t>
      </w:r>
      <w:r w:rsidR="00D93973">
        <w:rPr>
          <w:rFonts w:ascii="Times New Roman" w:hAnsi="Times New Roman" w:cs="Times New Roman"/>
          <w:sz w:val="28"/>
          <w:szCs w:val="28"/>
        </w:rPr>
        <w:t xml:space="preserve">money for </w:t>
      </w:r>
      <w:r>
        <w:rPr>
          <w:rFonts w:ascii="Times New Roman" w:hAnsi="Times New Roman" w:cs="Times New Roman"/>
          <w:sz w:val="28"/>
          <w:szCs w:val="28"/>
        </w:rPr>
        <w:t xml:space="preserve">the </w:t>
      </w:r>
      <w:r w:rsidR="00D93973">
        <w:rPr>
          <w:rFonts w:ascii="Times New Roman" w:hAnsi="Times New Roman" w:cs="Times New Roman"/>
          <w:sz w:val="28"/>
          <w:szCs w:val="28"/>
        </w:rPr>
        <w:t xml:space="preserve">parking </w:t>
      </w:r>
      <w:r>
        <w:rPr>
          <w:rFonts w:ascii="Times New Roman" w:hAnsi="Times New Roman" w:cs="Times New Roman"/>
          <w:sz w:val="28"/>
          <w:szCs w:val="28"/>
        </w:rPr>
        <w:t>fee</w:t>
      </w:r>
      <w:r w:rsidR="00D93973">
        <w:rPr>
          <w:rFonts w:ascii="Times New Roman" w:hAnsi="Times New Roman" w:cs="Times New Roman"/>
          <w:sz w:val="28"/>
          <w:szCs w:val="28"/>
        </w:rPr>
        <w:t>s</w:t>
      </w:r>
      <w:r>
        <w:rPr>
          <w:rFonts w:ascii="Times New Roman" w:hAnsi="Times New Roman" w:cs="Times New Roman"/>
          <w:sz w:val="28"/>
          <w:szCs w:val="28"/>
        </w:rPr>
        <w:t xml:space="preserve"> to </w:t>
      </w:r>
      <w:r w:rsidR="00D93973">
        <w:rPr>
          <w:rFonts w:ascii="Times New Roman" w:hAnsi="Times New Roman" w:cs="Times New Roman"/>
          <w:sz w:val="28"/>
          <w:szCs w:val="28"/>
        </w:rPr>
        <w:t xml:space="preserve">the </w:t>
      </w:r>
      <w:r>
        <w:rPr>
          <w:rFonts w:ascii="Times New Roman" w:hAnsi="Times New Roman" w:cs="Times New Roman"/>
          <w:sz w:val="28"/>
          <w:szCs w:val="28"/>
        </w:rPr>
        <w:t xml:space="preserve">drivers. But more importantly the drivers who have no money to pay the </w:t>
      </w:r>
      <w:r w:rsidR="00510BD9">
        <w:rPr>
          <w:rFonts w:ascii="Times New Roman" w:hAnsi="Times New Roman" w:cs="Times New Roman"/>
          <w:sz w:val="28"/>
          <w:szCs w:val="28"/>
        </w:rPr>
        <w:t xml:space="preserve">parking </w:t>
      </w:r>
      <w:r>
        <w:rPr>
          <w:rFonts w:ascii="Times New Roman" w:hAnsi="Times New Roman" w:cs="Times New Roman"/>
          <w:sz w:val="28"/>
          <w:szCs w:val="28"/>
        </w:rPr>
        <w:t>fee</w:t>
      </w:r>
      <w:r w:rsidR="00510BD9">
        <w:rPr>
          <w:rFonts w:ascii="Times New Roman" w:hAnsi="Times New Roman" w:cs="Times New Roman"/>
          <w:sz w:val="28"/>
          <w:szCs w:val="28"/>
        </w:rPr>
        <w:t>s</w:t>
      </w:r>
      <w:r>
        <w:rPr>
          <w:rFonts w:ascii="Times New Roman" w:hAnsi="Times New Roman" w:cs="Times New Roman"/>
          <w:sz w:val="28"/>
          <w:szCs w:val="28"/>
        </w:rPr>
        <w:t xml:space="preserve"> are left to languish at the border when the fee itself is not supported by any legal authority such as a bye law.</w:t>
      </w:r>
    </w:p>
    <w:p w:rsidR="00A41110" w:rsidRDefault="002E6F29" w:rsidP="00A41110">
      <w:pPr>
        <w:jc w:val="both"/>
        <w:rPr>
          <w:rFonts w:ascii="Times New Roman" w:hAnsi="Times New Roman" w:cs="Times New Roman"/>
          <w:sz w:val="28"/>
          <w:szCs w:val="28"/>
        </w:rPr>
      </w:pPr>
      <w:r>
        <w:rPr>
          <w:rFonts w:ascii="Times New Roman" w:hAnsi="Times New Roman" w:cs="Times New Roman"/>
          <w:sz w:val="28"/>
          <w:szCs w:val="28"/>
        </w:rPr>
        <w:t>This court</w:t>
      </w:r>
      <w:r w:rsidR="00510BD9">
        <w:rPr>
          <w:rFonts w:ascii="Times New Roman" w:hAnsi="Times New Roman" w:cs="Times New Roman"/>
          <w:sz w:val="28"/>
          <w:szCs w:val="28"/>
        </w:rPr>
        <w:t>,</w:t>
      </w:r>
      <w:r>
        <w:rPr>
          <w:rFonts w:ascii="Times New Roman" w:hAnsi="Times New Roman" w:cs="Times New Roman"/>
          <w:sz w:val="28"/>
          <w:szCs w:val="28"/>
        </w:rPr>
        <w:t xml:space="preserve"> whilst appreciating the argument of the 1</w:t>
      </w:r>
      <w:r w:rsidRPr="002E6F29">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w:t>
      </w:r>
      <w:r w:rsidR="00510BD9">
        <w:rPr>
          <w:rFonts w:ascii="Times New Roman" w:hAnsi="Times New Roman" w:cs="Times New Roman"/>
          <w:sz w:val="28"/>
          <w:szCs w:val="28"/>
        </w:rPr>
        <w:t>,</w:t>
      </w:r>
      <w:r>
        <w:rPr>
          <w:rFonts w:ascii="Times New Roman" w:hAnsi="Times New Roman" w:cs="Times New Roman"/>
          <w:sz w:val="28"/>
          <w:szCs w:val="28"/>
        </w:rPr>
        <w:t xml:space="preserve"> is</w:t>
      </w:r>
      <w:r w:rsidR="00D93973">
        <w:rPr>
          <w:rFonts w:ascii="Times New Roman" w:hAnsi="Times New Roman" w:cs="Times New Roman"/>
          <w:sz w:val="28"/>
          <w:szCs w:val="28"/>
        </w:rPr>
        <w:t xml:space="preserve"> rather persuaded that in fact what is of overriding importance is that the parking fee was not properly sanctioned by law as is required under section 95 the Road Traffic Act. In that case</w:t>
      </w:r>
      <w:r w:rsidR="00995585">
        <w:rPr>
          <w:rFonts w:ascii="Times New Roman" w:hAnsi="Times New Roman" w:cs="Times New Roman"/>
          <w:sz w:val="28"/>
          <w:szCs w:val="28"/>
        </w:rPr>
        <w:t>,</w:t>
      </w:r>
      <w:r w:rsidR="00D93973">
        <w:rPr>
          <w:rFonts w:ascii="Times New Roman" w:hAnsi="Times New Roman" w:cs="Times New Roman"/>
          <w:sz w:val="28"/>
          <w:szCs w:val="28"/>
        </w:rPr>
        <w:t xml:space="preserve"> the parking fees </w:t>
      </w:r>
      <w:r w:rsidR="00995585">
        <w:rPr>
          <w:rFonts w:ascii="Times New Roman" w:hAnsi="Times New Roman" w:cs="Times New Roman"/>
          <w:sz w:val="28"/>
          <w:szCs w:val="28"/>
        </w:rPr>
        <w:t>would be</w:t>
      </w:r>
      <w:r w:rsidR="00D93973">
        <w:rPr>
          <w:rFonts w:ascii="Times New Roman" w:hAnsi="Times New Roman" w:cs="Times New Roman"/>
          <w:sz w:val="28"/>
          <w:szCs w:val="28"/>
        </w:rPr>
        <w:t xml:space="preserve"> unlawful. The fact that driver’s employers agree to such unlawful arrangements cannot take away the right of the drivers who suffer the consequences of the unlawful fees on the ground from seeking protection from such unlawful parking fees.</w:t>
      </w:r>
      <w:r>
        <w:rPr>
          <w:rFonts w:ascii="Times New Roman" w:hAnsi="Times New Roman" w:cs="Times New Roman"/>
          <w:sz w:val="28"/>
          <w:szCs w:val="28"/>
        </w:rPr>
        <w:t xml:space="preserve">  </w:t>
      </w:r>
      <w:r w:rsidR="00A41110">
        <w:rPr>
          <w:rFonts w:ascii="Times New Roman" w:hAnsi="Times New Roman" w:cs="Times New Roman"/>
          <w:sz w:val="28"/>
          <w:szCs w:val="28"/>
        </w:rPr>
        <w:t xml:space="preserve"> </w:t>
      </w:r>
    </w:p>
    <w:p w:rsidR="00627721" w:rsidRDefault="000C00BF" w:rsidP="00A41110">
      <w:pPr>
        <w:jc w:val="both"/>
        <w:rPr>
          <w:rFonts w:ascii="Times New Roman" w:hAnsi="Times New Roman" w:cs="Times New Roman"/>
          <w:sz w:val="28"/>
          <w:szCs w:val="28"/>
        </w:rPr>
      </w:pPr>
      <w:r>
        <w:rPr>
          <w:rFonts w:ascii="Times New Roman" w:hAnsi="Times New Roman" w:cs="Times New Roman"/>
          <w:sz w:val="28"/>
          <w:szCs w:val="28"/>
        </w:rPr>
        <w:t>This Court may</w:t>
      </w:r>
      <w:r w:rsidR="00627721">
        <w:rPr>
          <w:rFonts w:ascii="Times New Roman" w:hAnsi="Times New Roman" w:cs="Times New Roman"/>
          <w:sz w:val="28"/>
          <w:szCs w:val="28"/>
        </w:rPr>
        <w:t xml:space="preserve"> </w:t>
      </w:r>
      <w:r w:rsidR="00995585">
        <w:rPr>
          <w:rFonts w:ascii="Times New Roman" w:hAnsi="Times New Roman" w:cs="Times New Roman"/>
          <w:sz w:val="28"/>
          <w:szCs w:val="28"/>
        </w:rPr>
        <w:t xml:space="preserve">also </w:t>
      </w:r>
      <w:r w:rsidR="00627721">
        <w:rPr>
          <w:rFonts w:ascii="Times New Roman" w:hAnsi="Times New Roman" w:cs="Times New Roman"/>
          <w:sz w:val="28"/>
          <w:szCs w:val="28"/>
        </w:rPr>
        <w:t xml:space="preserve">consider the relative strength of the parties’ cases without delving into the merits of the same. This is a matter of last resort. </w:t>
      </w:r>
    </w:p>
    <w:p w:rsidR="00627721" w:rsidRDefault="00627721" w:rsidP="00627721">
      <w:pPr>
        <w:jc w:val="both"/>
        <w:rPr>
          <w:rFonts w:ascii="Times New Roman" w:hAnsi="Times New Roman" w:cs="Times New Roman"/>
          <w:sz w:val="28"/>
          <w:szCs w:val="28"/>
        </w:rPr>
      </w:pPr>
      <w:r>
        <w:rPr>
          <w:rFonts w:ascii="Times New Roman" w:hAnsi="Times New Roman" w:cs="Times New Roman"/>
          <w:sz w:val="28"/>
          <w:szCs w:val="28"/>
        </w:rPr>
        <w:t xml:space="preserve">In </w:t>
      </w:r>
      <w:r>
        <w:rPr>
          <w:rFonts w:ascii="Times New Roman" w:hAnsi="Times New Roman" w:cs="Times New Roman"/>
          <w:i/>
          <w:iCs/>
          <w:sz w:val="28"/>
          <w:szCs w:val="28"/>
        </w:rPr>
        <w:t>American Cyanamid Co. v Ethicon Ltd</w:t>
      </w:r>
      <w:r>
        <w:rPr>
          <w:rFonts w:ascii="Times New Roman" w:hAnsi="Times New Roman" w:cs="Times New Roman"/>
          <w:sz w:val="28"/>
          <w:szCs w:val="28"/>
        </w:rPr>
        <w:t xml:space="preserve"> Lord Diplock said at p. 409 that, as a last resort:</w:t>
      </w:r>
    </w:p>
    <w:p w:rsidR="00627721" w:rsidRDefault="00627721" w:rsidP="00627721">
      <w:pPr>
        <w:ind w:left="720"/>
        <w:jc w:val="both"/>
        <w:rPr>
          <w:rFonts w:ascii="Times New Roman" w:hAnsi="Times New Roman" w:cs="Times New Roman"/>
          <w:sz w:val="24"/>
          <w:szCs w:val="24"/>
        </w:rPr>
      </w:pPr>
      <w:r>
        <w:rPr>
          <w:rFonts w:ascii="Times New Roman" w:hAnsi="Times New Roman" w:cs="Times New Roman"/>
          <w:sz w:val="24"/>
          <w:szCs w:val="24"/>
        </w:rPr>
        <w:t xml:space="preserve">. . . it may not be improper to take into account in tipping the balance the relative strength of each party’s case as revealed by the affidavit evidence adduced on the hearing of the application. This, however, should be done only where it is apparent upon the facts disclosed by evidence as to which there is no credible dispute that the strength of one party’s case is disproportionate to that of the other party. The court is not justified in </w:t>
      </w:r>
      <w:r>
        <w:rPr>
          <w:rFonts w:ascii="Times New Roman" w:hAnsi="Times New Roman" w:cs="Times New Roman"/>
          <w:sz w:val="24"/>
          <w:szCs w:val="24"/>
        </w:rPr>
        <w:lastRenderedPageBreak/>
        <w:t>embarking upon anything resembling a trial of the action upon conflicting affidavits in order to evaluate the strength of either party’s case.</w:t>
      </w:r>
    </w:p>
    <w:p w:rsidR="000C00BF" w:rsidRDefault="00627721" w:rsidP="000C00BF">
      <w:pPr>
        <w:jc w:val="both"/>
        <w:rPr>
          <w:rFonts w:ascii="Times New Roman" w:hAnsi="Times New Roman" w:cs="Times New Roman"/>
          <w:sz w:val="28"/>
          <w:szCs w:val="28"/>
        </w:rPr>
      </w:pPr>
      <w:r>
        <w:rPr>
          <w:rFonts w:ascii="Times New Roman" w:hAnsi="Times New Roman" w:cs="Times New Roman"/>
          <w:sz w:val="28"/>
          <w:szCs w:val="28"/>
        </w:rPr>
        <w:t>In the circumstanc</w:t>
      </w:r>
      <w:r w:rsidR="000C00BF">
        <w:rPr>
          <w:rFonts w:ascii="Times New Roman" w:hAnsi="Times New Roman" w:cs="Times New Roman"/>
          <w:sz w:val="28"/>
          <w:szCs w:val="28"/>
        </w:rPr>
        <w:t>es of this matter the relative strength of the plaintiff’s case is stronger since the defendants are unable to show the legal mandate authorizing the levying of the parking fees in accordance with the law.</w:t>
      </w:r>
    </w:p>
    <w:p w:rsidR="000C00BF" w:rsidRDefault="00510BD9" w:rsidP="000C00BF">
      <w:pPr>
        <w:jc w:val="both"/>
        <w:rPr>
          <w:rFonts w:ascii="Times New Roman" w:hAnsi="Times New Roman" w:cs="Times New Roman"/>
          <w:sz w:val="28"/>
          <w:szCs w:val="28"/>
        </w:rPr>
      </w:pPr>
      <w:r>
        <w:rPr>
          <w:rFonts w:ascii="Times New Roman" w:hAnsi="Times New Roman" w:cs="Times New Roman"/>
          <w:sz w:val="28"/>
          <w:szCs w:val="28"/>
        </w:rPr>
        <w:t xml:space="preserve">The defendants did raise  a separate </w:t>
      </w:r>
      <w:r w:rsidR="000C00BF">
        <w:rPr>
          <w:rFonts w:ascii="Times New Roman" w:hAnsi="Times New Roman" w:cs="Times New Roman"/>
          <w:sz w:val="28"/>
          <w:szCs w:val="28"/>
        </w:rPr>
        <w:t>issue that the plaintiff failed to make a full and frank disclosure of material facts</w:t>
      </w:r>
      <w:r w:rsidR="00C528AB">
        <w:rPr>
          <w:rFonts w:ascii="Times New Roman" w:hAnsi="Times New Roman" w:cs="Times New Roman"/>
          <w:sz w:val="28"/>
          <w:szCs w:val="28"/>
        </w:rPr>
        <w:t xml:space="preserve"> in that the plaintiff is a limited liability company and also that the deponent of the affidavit described himself as head of operations for the plaintiff yet he is a truck driver who travels a lot and cannot be operations head.</w:t>
      </w:r>
    </w:p>
    <w:p w:rsidR="00C528AB" w:rsidRDefault="00B55B8D" w:rsidP="00B55B8D">
      <w:pPr>
        <w:jc w:val="both"/>
        <w:rPr>
          <w:rFonts w:ascii="Times New Roman" w:hAnsi="Times New Roman" w:cs="Times New Roman"/>
          <w:sz w:val="28"/>
          <w:szCs w:val="28"/>
        </w:rPr>
      </w:pPr>
      <w:r>
        <w:rPr>
          <w:rFonts w:ascii="Times New Roman" w:hAnsi="Times New Roman" w:cs="Times New Roman"/>
          <w:sz w:val="28"/>
          <w:szCs w:val="28"/>
        </w:rPr>
        <w:t xml:space="preserve">The plaintiff argues that it is a limited company and registered under the Non Governmental Organizations Act. </w:t>
      </w:r>
      <w:r w:rsidR="00C40D45">
        <w:rPr>
          <w:rFonts w:ascii="Times New Roman" w:hAnsi="Times New Roman" w:cs="Times New Roman"/>
          <w:sz w:val="28"/>
          <w:szCs w:val="28"/>
        </w:rPr>
        <w:t>The plaintiff argues that the deponent of the plaintiff’s affidavit is a member of the plaintiff. That such fact has been admitted by the defendants. However, that the defendants have not shown how the failure of the plaintiff to prove that he is operations head of the plaintiff is a material fact to the determination of the instant application. In other words that proof that the deponent is operations head for the plaintiff is not a material fact and in fact it is incumbent on the defendants to disprove the fact that the deponent of the plaintiff’s affidavit is the plaintiff’s operations head.</w:t>
      </w:r>
      <w:r w:rsidRPr="00B55B8D">
        <w:rPr>
          <w:rFonts w:ascii="Times New Roman" w:hAnsi="Times New Roman" w:cs="Times New Roman"/>
          <w:sz w:val="28"/>
          <w:szCs w:val="28"/>
        </w:rPr>
        <w:t xml:space="preserve"> </w:t>
      </w:r>
      <w:r>
        <w:rPr>
          <w:rFonts w:ascii="Times New Roman" w:hAnsi="Times New Roman" w:cs="Times New Roman"/>
          <w:sz w:val="28"/>
          <w:szCs w:val="28"/>
        </w:rPr>
        <w:t>In short, the plaintiff submits that it did not fail to disclose material facts in this matter.</w:t>
      </w:r>
    </w:p>
    <w:p w:rsidR="00B55B8D" w:rsidRPr="002E6F29" w:rsidRDefault="00B55B8D" w:rsidP="00635575">
      <w:pPr>
        <w:jc w:val="both"/>
        <w:rPr>
          <w:rFonts w:ascii="Times New Roman" w:hAnsi="Times New Roman" w:cs="Times New Roman"/>
          <w:sz w:val="28"/>
          <w:szCs w:val="28"/>
        </w:rPr>
      </w:pPr>
      <w:r>
        <w:rPr>
          <w:rFonts w:ascii="Times New Roman" w:hAnsi="Times New Roman" w:cs="Times New Roman"/>
          <w:sz w:val="28"/>
          <w:szCs w:val="28"/>
        </w:rPr>
        <w:t>This Court agrees with the defendants that there is a duty of disclosure</w:t>
      </w:r>
      <w:r w:rsidR="002E6F29">
        <w:rPr>
          <w:rFonts w:ascii="Times New Roman" w:hAnsi="Times New Roman" w:cs="Times New Roman"/>
          <w:sz w:val="28"/>
          <w:szCs w:val="28"/>
        </w:rPr>
        <w:t xml:space="preserve"> of material facts</w:t>
      </w:r>
      <w:r>
        <w:rPr>
          <w:rFonts w:ascii="Times New Roman" w:hAnsi="Times New Roman" w:cs="Times New Roman"/>
          <w:sz w:val="28"/>
          <w:szCs w:val="28"/>
        </w:rPr>
        <w:t xml:space="preserve"> on both lawyers and clients in compiling evidence on applications for injunctions without notice like the one in issue in this matter. See </w:t>
      </w:r>
      <w:r w:rsidR="00695943">
        <w:rPr>
          <w:rFonts w:ascii="Times New Roman" w:hAnsi="Times New Roman" w:cs="Times New Roman"/>
          <w:i/>
          <w:iCs/>
          <w:sz w:val="28"/>
          <w:szCs w:val="28"/>
        </w:rPr>
        <w:t xml:space="preserve">Mpinganjira v Speaker of the National Assembly and another </w:t>
      </w:r>
      <w:r w:rsidR="00695943">
        <w:rPr>
          <w:rFonts w:ascii="Times New Roman" w:hAnsi="Times New Roman" w:cs="Times New Roman"/>
          <w:sz w:val="28"/>
          <w:szCs w:val="28"/>
        </w:rPr>
        <w:t>[2000-2001] MLR 318</w:t>
      </w:r>
      <w:r w:rsidR="00635575">
        <w:rPr>
          <w:rFonts w:ascii="Times New Roman" w:hAnsi="Times New Roman" w:cs="Times New Roman"/>
          <w:sz w:val="28"/>
          <w:szCs w:val="28"/>
        </w:rPr>
        <w:t xml:space="preserve">, </w:t>
      </w:r>
      <w:r w:rsidR="00635575">
        <w:rPr>
          <w:rFonts w:ascii="Times New Roman" w:hAnsi="Times New Roman" w:cs="Times New Roman"/>
          <w:i/>
          <w:iCs/>
          <w:sz w:val="28"/>
          <w:szCs w:val="28"/>
        </w:rPr>
        <w:t xml:space="preserve">Beese v Woodhouse </w:t>
      </w:r>
      <w:r w:rsidR="00635575">
        <w:rPr>
          <w:rFonts w:ascii="Times New Roman" w:hAnsi="Times New Roman" w:cs="Times New Roman"/>
          <w:sz w:val="28"/>
          <w:szCs w:val="28"/>
        </w:rPr>
        <w:t xml:space="preserve">(1970) 1 WLR 568,  </w:t>
      </w:r>
      <w:r w:rsidR="00635575">
        <w:rPr>
          <w:rFonts w:ascii="Times New Roman" w:hAnsi="Times New Roman" w:cs="Times New Roman"/>
          <w:i/>
          <w:iCs/>
          <w:sz w:val="28"/>
          <w:szCs w:val="28"/>
        </w:rPr>
        <w:t xml:space="preserve">Zalira v Hall Holding Limited </w:t>
      </w:r>
      <w:r w:rsidR="00635575">
        <w:rPr>
          <w:rFonts w:ascii="Times New Roman" w:hAnsi="Times New Roman" w:cs="Times New Roman"/>
          <w:sz w:val="28"/>
          <w:szCs w:val="28"/>
        </w:rPr>
        <w:t xml:space="preserve">civil cause number 144 of 1992 (High Court) (unreported) and </w:t>
      </w:r>
      <w:r w:rsidR="00635575">
        <w:rPr>
          <w:rFonts w:ascii="Times New Roman" w:hAnsi="Times New Roman" w:cs="Times New Roman"/>
          <w:i/>
          <w:iCs/>
          <w:sz w:val="28"/>
          <w:szCs w:val="28"/>
        </w:rPr>
        <w:t xml:space="preserve">Chidza Trust v Nedbank </w:t>
      </w:r>
      <w:r w:rsidR="00635575">
        <w:rPr>
          <w:rFonts w:ascii="Times New Roman" w:hAnsi="Times New Roman" w:cs="Times New Roman"/>
          <w:sz w:val="28"/>
          <w:szCs w:val="28"/>
        </w:rPr>
        <w:t>civil cause number 2324 of 2006 (High Court) (unreported)</w:t>
      </w:r>
      <w:r w:rsidR="00635575">
        <w:rPr>
          <w:rFonts w:ascii="Times New Roman" w:hAnsi="Times New Roman" w:cs="Times New Roman"/>
          <w:i/>
          <w:iCs/>
          <w:sz w:val="28"/>
          <w:szCs w:val="28"/>
        </w:rPr>
        <w:t xml:space="preserve"> </w:t>
      </w:r>
      <w:r w:rsidR="00695943">
        <w:rPr>
          <w:rFonts w:ascii="Times New Roman" w:hAnsi="Times New Roman" w:cs="Times New Roman"/>
          <w:sz w:val="28"/>
          <w:szCs w:val="28"/>
        </w:rPr>
        <w:t>.</w:t>
      </w:r>
      <w:r w:rsidR="002E6F29">
        <w:rPr>
          <w:rFonts w:ascii="Times New Roman" w:hAnsi="Times New Roman" w:cs="Times New Roman"/>
          <w:sz w:val="28"/>
          <w:szCs w:val="28"/>
        </w:rPr>
        <w:t xml:space="preserve"> Material facts are facts which if known to the court would have led the court to arrive at a conclusion or order different from the one it arrived at. See </w:t>
      </w:r>
      <w:r w:rsidR="002E6F29">
        <w:rPr>
          <w:rFonts w:ascii="Times New Roman" w:hAnsi="Times New Roman" w:cs="Times New Roman"/>
          <w:i/>
          <w:iCs/>
          <w:sz w:val="28"/>
          <w:szCs w:val="28"/>
        </w:rPr>
        <w:t xml:space="preserve">Mchungula v Stanbic Bank Limited and another </w:t>
      </w:r>
      <w:r w:rsidR="002E6F29">
        <w:rPr>
          <w:rFonts w:ascii="Times New Roman" w:hAnsi="Times New Roman" w:cs="Times New Roman"/>
          <w:sz w:val="28"/>
          <w:szCs w:val="28"/>
        </w:rPr>
        <w:t>civil cause number 558 of 2007 (High Court) (unreported).</w:t>
      </w:r>
    </w:p>
    <w:p w:rsidR="00C40D45" w:rsidRDefault="00695943" w:rsidP="00995585">
      <w:pPr>
        <w:jc w:val="both"/>
        <w:rPr>
          <w:rFonts w:ascii="Times New Roman" w:hAnsi="Times New Roman" w:cs="Times New Roman"/>
          <w:sz w:val="28"/>
          <w:szCs w:val="28"/>
        </w:rPr>
      </w:pPr>
      <w:r>
        <w:rPr>
          <w:rFonts w:ascii="Times New Roman" w:hAnsi="Times New Roman" w:cs="Times New Roman"/>
          <w:sz w:val="28"/>
          <w:szCs w:val="28"/>
        </w:rPr>
        <w:t>However, t</w:t>
      </w:r>
      <w:r w:rsidR="00B55B8D">
        <w:rPr>
          <w:rFonts w:ascii="Times New Roman" w:hAnsi="Times New Roman" w:cs="Times New Roman"/>
          <w:sz w:val="28"/>
          <w:szCs w:val="28"/>
        </w:rPr>
        <w:t>he view of this Court is that there was indeed</w:t>
      </w:r>
      <w:r>
        <w:rPr>
          <w:rFonts w:ascii="Times New Roman" w:hAnsi="Times New Roman" w:cs="Times New Roman"/>
          <w:sz w:val="28"/>
          <w:szCs w:val="28"/>
        </w:rPr>
        <w:t>, as submitted by the plaintiff,</w:t>
      </w:r>
      <w:r w:rsidR="00B55B8D">
        <w:rPr>
          <w:rFonts w:ascii="Times New Roman" w:hAnsi="Times New Roman" w:cs="Times New Roman"/>
          <w:sz w:val="28"/>
          <w:szCs w:val="28"/>
        </w:rPr>
        <w:t xml:space="preserve"> no failure to disclose material facts in this matter. </w:t>
      </w:r>
      <w:r>
        <w:rPr>
          <w:rFonts w:ascii="Times New Roman" w:hAnsi="Times New Roman" w:cs="Times New Roman"/>
          <w:sz w:val="28"/>
          <w:szCs w:val="28"/>
        </w:rPr>
        <w:t xml:space="preserve">This follows from the </w:t>
      </w:r>
      <w:r>
        <w:rPr>
          <w:rFonts w:ascii="Times New Roman" w:hAnsi="Times New Roman" w:cs="Times New Roman"/>
          <w:sz w:val="28"/>
          <w:szCs w:val="28"/>
        </w:rPr>
        <w:lastRenderedPageBreak/>
        <w:t xml:space="preserve">following facts. </w:t>
      </w:r>
      <w:r w:rsidR="00B55B8D">
        <w:rPr>
          <w:rFonts w:ascii="Times New Roman" w:hAnsi="Times New Roman" w:cs="Times New Roman"/>
          <w:sz w:val="28"/>
          <w:szCs w:val="28"/>
        </w:rPr>
        <w:t xml:space="preserve">By its name it is clear that the plaintiff is a form of a limited </w:t>
      </w:r>
      <w:r>
        <w:rPr>
          <w:rFonts w:ascii="Times New Roman" w:hAnsi="Times New Roman" w:cs="Times New Roman"/>
          <w:sz w:val="28"/>
          <w:szCs w:val="28"/>
        </w:rPr>
        <w:t>c</w:t>
      </w:r>
      <w:r w:rsidR="00B55B8D">
        <w:rPr>
          <w:rFonts w:ascii="Times New Roman" w:hAnsi="Times New Roman" w:cs="Times New Roman"/>
          <w:sz w:val="28"/>
          <w:szCs w:val="28"/>
        </w:rPr>
        <w:t>ompany. Further the plaintiff disclosed on the ex parte application that it is registered under the Non Governmental Organizations Act.</w:t>
      </w:r>
      <w:r>
        <w:rPr>
          <w:rFonts w:ascii="Times New Roman" w:hAnsi="Times New Roman" w:cs="Times New Roman"/>
          <w:sz w:val="28"/>
          <w:szCs w:val="28"/>
        </w:rPr>
        <w:t xml:space="preserve"> The membership of the deponent of the plaintiff’s affidavit with the plaintiff and the fact that the said deponent is operations head for the plaintiff</w:t>
      </w:r>
      <w:r w:rsidR="00995585">
        <w:rPr>
          <w:rFonts w:ascii="Times New Roman" w:hAnsi="Times New Roman" w:cs="Times New Roman"/>
          <w:sz w:val="28"/>
          <w:szCs w:val="28"/>
        </w:rPr>
        <w:t xml:space="preserve"> as asserted by the plaintiff </w:t>
      </w:r>
      <w:r>
        <w:rPr>
          <w:rFonts w:ascii="Times New Roman" w:hAnsi="Times New Roman" w:cs="Times New Roman"/>
          <w:sz w:val="28"/>
          <w:szCs w:val="28"/>
        </w:rPr>
        <w:t>has not been disproved by the defendants.</w:t>
      </w:r>
    </w:p>
    <w:p w:rsidR="000C00BF" w:rsidRDefault="000C00BF" w:rsidP="000C00BF">
      <w:pPr>
        <w:jc w:val="both"/>
        <w:rPr>
          <w:rFonts w:ascii="Times New Roman" w:hAnsi="Times New Roman" w:cs="Times New Roman"/>
          <w:sz w:val="28"/>
          <w:szCs w:val="28"/>
        </w:rPr>
      </w:pPr>
      <w:r>
        <w:rPr>
          <w:rFonts w:ascii="Times New Roman" w:hAnsi="Times New Roman" w:cs="Times New Roman"/>
          <w:sz w:val="28"/>
          <w:szCs w:val="28"/>
        </w:rPr>
        <w:t>In the foregoing premises, the ex parte order of injunction</w:t>
      </w:r>
      <w:r w:rsidR="008F35E6">
        <w:rPr>
          <w:rFonts w:ascii="Times New Roman" w:hAnsi="Times New Roman" w:cs="Times New Roman"/>
          <w:sz w:val="28"/>
          <w:szCs w:val="28"/>
        </w:rPr>
        <w:t xml:space="preserve"> granted herein shall </w:t>
      </w:r>
      <w:r>
        <w:rPr>
          <w:rFonts w:ascii="Times New Roman" w:hAnsi="Times New Roman" w:cs="Times New Roman"/>
          <w:sz w:val="28"/>
          <w:szCs w:val="28"/>
        </w:rPr>
        <w:t xml:space="preserve">subsist until the trial of the originating summons of the plaintiff which this Court is sure will be listed for trial soon given the quick mode of listing of chamber matters at this registry. </w:t>
      </w:r>
    </w:p>
    <w:p w:rsidR="00627721" w:rsidRDefault="000C00BF" w:rsidP="000C00BF">
      <w:pPr>
        <w:jc w:val="both"/>
        <w:rPr>
          <w:rFonts w:ascii="Times New Roman" w:hAnsi="Times New Roman" w:cs="Times New Roman"/>
          <w:sz w:val="28"/>
          <w:szCs w:val="28"/>
        </w:rPr>
      </w:pPr>
      <w:r>
        <w:rPr>
          <w:rFonts w:ascii="Times New Roman" w:hAnsi="Times New Roman" w:cs="Times New Roman"/>
          <w:sz w:val="28"/>
          <w:szCs w:val="28"/>
        </w:rPr>
        <w:t>C</w:t>
      </w:r>
      <w:r w:rsidR="00627721">
        <w:rPr>
          <w:rFonts w:ascii="Times New Roman" w:hAnsi="Times New Roman" w:cs="Times New Roman"/>
          <w:sz w:val="28"/>
          <w:szCs w:val="28"/>
        </w:rPr>
        <w:t>osts normally follow the event</w:t>
      </w:r>
      <w:r>
        <w:rPr>
          <w:rFonts w:ascii="Times New Roman" w:hAnsi="Times New Roman" w:cs="Times New Roman"/>
          <w:sz w:val="28"/>
          <w:szCs w:val="28"/>
        </w:rPr>
        <w:t xml:space="preserve"> and are awarded to the successful plaintiff.</w:t>
      </w:r>
    </w:p>
    <w:p w:rsidR="00627721" w:rsidRDefault="00627721" w:rsidP="008F35E6">
      <w:pPr>
        <w:jc w:val="both"/>
        <w:rPr>
          <w:rFonts w:ascii="Times New Roman" w:hAnsi="Times New Roman" w:cs="Times New Roman"/>
          <w:sz w:val="28"/>
          <w:szCs w:val="28"/>
        </w:rPr>
      </w:pPr>
      <w:r>
        <w:rPr>
          <w:rFonts w:ascii="Times New Roman" w:hAnsi="Times New Roman" w:cs="Times New Roman"/>
          <w:sz w:val="28"/>
          <w:szCs w:val="28"/>
        </w:rPr>
        <w:t xml:space="preserve">Made in chambers at Blantyre this </w:t>
      </w:r>
      <w:r w:rsidR="000C00BF">
        <w:rPr>
          <w:rFonts w:ascii="Times New Roman" w:hAnsi="Times New Roman" w:cs="Times New Roman"/>
          <w:sz w:val="28"/>
          <w:szCs w:val="28"/>
        </w:rPr>
        <w:t xml:space="preserve"> </w:t>
      </w:r>
      <w:r w:rsidR="008F35E6">
        <w:rPr>
          <w:rFonts w:ascii="Times New Roman" w:hAnsi="Times New Roman" w:cs="Times New Roman"/>
          <w:sz w:val="28"/>
          <w:szCs w:val="28"/>
        </w:rPr>
        <w:t>27</w:t>
      </w:r>
      <w:r w:rsidR="008F35E6" w:rsidRPr="008F35E6">
        <w:rPr>
          <w:rFonts w:ascii="Times New Roman" w:hAnsi="Times New Roman" w:cs="Times New Roman"/>
          <w:sz w:val="28"/>
          <w:szCs w:val="28"/>
          <w:vertAlign w:val="superscript"/>
        </w:rPr>
        <w:t>th</w:t>
      </w:r>
      <w:r w:rsidR="008F35E6">
        <w:rPr>
          <w:rFonts w:ascii="Times New Roman" w:hAnsi="Times New Roman" w:cs="Times New Roman"/>
          <w:sz w:val="28"/>
          <w:szCs w:val="28"/>
        </w:rPr>
        <w:t xml:space="preserve"> </w:t>
      </w:r>
      <w:r w:rsidR="000C00BF">
        <w:rPr>
          <w:rFonts w:ascii="Times New Roman" w:hAnsi="Times New Roman" w:cs="Times New Roman"/>
          <w:sz w:val="28"/>
          <w:szCs w:val="28"/>
        </w:rPr>
        <w:t>May</w:t>
      </w:r>
      <w:r>
        <w:rPr>
          <w:rFonts w:ascii="Times New Roman" w:hAnsi="Times New Roman" w:cs="Times New Roman"/>
          <w:sz w:val="28"/>
          <w:szCs w:val="28"/>
        </w:rPr>
        <w:t xml:space="preserve"> 2014.</w:t>
      </w:r>
    </w:p>
    <w:p w:rsidR="00627721" w:rsidRDefault="00627721" w:rsidP="00627721">
      <w:pPr>
        <w:jc w:val="both"/>
        <w:rPr>
          <w:rFonts w:ascii="Times New Roman" w:hAnsi="Times New Roman" w:cs="Times New Roman"/>
          <w:sz w:val="28"/>
          <w:szCs w:val="28"/>
        </w:rPr>
      </w:pPr>
      <w:r>
        <w:rPr>
          <w:rFonts w:ascii="Times New Roman" w:hAnsi="Times New Roman" w:cs="Times New Roman"/>
          <w:sz w:val="28"/>
          <w:szCs w:val="28"/>
        </w:rPr>
        <w:t xml:space="preserve">                              </w:t>
      </w:r>
    </w:p>
    <w:p w:rsidR="00627721" w:rsidRDefault="00627721" w:rsidP="00627721">
      <w:pPr>
        <w:jc w:val="both"/>
        <w:rPr>
          <w:rFonts w:ascii="Times New Roman" w:hAnsi="Times New Roman" w:cs="Times New Roman"/>
          <w:sz w:val="28"/>
          <w:szCs w:val="28"/>
        </w:rPr>
      </w:pPr>
      <w:r>
        <w:rPr>
          <w:rFonts w:ascii="Times New Roman" w:hAnsi="Times New Roman" w:cs="Times New Roman"/>
          <w:sz w:val="28"/>
          <w:szCs w:val="28"/>
        </w:rPr>
        <w:t xml:space="preserve">                    </w:t>
      </w:r>
    </w:p>
    <w:p w:rsidR="00627721" w:rsidRDefault="00627721" w:rsidP="00627721">
      <w:pPr>
        <w:jc w:val="both"/>
        <w:rPr>
          <w:rFonts w:ascii="Times New Roman" w:hAnsi="Times New Roman" w:cs="Times New Roman"/>
          <w:sz w:val="28"/>
          <w:szCs w:val="28"/>
        </w:rPr>
      </w:pPr>
      <w:r>
        <w:rPr>
          <w:rFonts w:ascii="Times New Roman" w:hAnsi="Times New Roman" w:cs="Times New Roman"/>
          <w:sz w:val="28"/>
          <w:szCs w:val="28"/>
        </w:rPr>
        <w:t xml:space="preserve">                                               M.A. Tembo</w:t>
      </w:r>
    </w:p>
    <w:p w:rsidR="00106D0B" w:rsidRPr="00627721" w:rsidRDefault="00627721" w:rsidP="002E6F29">
      <w:pPr>
        <w:jc w:val="both"/>
        <w:rPr>
          <w:rFonts w:asciiTheme="majorBidi" w:hAnsiTheme="majorBidi" w:cstheme="majorBidi"/>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JUDGE</w:t>
      </w:r>
    </w:p>
    <w:sectPr w:rsidR="00106D0B" w:rsidRPr="00627721" w:rsidSect="00E87BE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84E" w:rsidRDefault="0070484E" w:rsidP="00627721">
      <w:pPr>
        <w:spacing w:after="0" w:line="240" w:lineRule="auto"/>
      </w:pPr>
      <w:r>
        <w:separator/>
      </w:r>
    </w:p>
  </w:endnote>
  <w:endnote w:type="continuationSeparator" w:id="1">
    <w:p w:rsidR="0070484E" w:rsidRDefault="0070484E" w:rsidP="006277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8750"/>
      <w:docPartObj>
        <w:docPartGallery w:val="Page Numbers (Bottom of Page)"/>
        <w:docPartUnique/>
      </w:docPartObj>
    </w:sdtPr>
    <w:sdtContent>
      <w:p w:rsidR="002E6F29" w:rsidRDefault="002E6F29">
        <w:pPr>
          <w:pStyle w:val="Footer"/>
          <w:jc w:val="center"/>
        </w:pPr>
        <w:fldSimple w:instr=" PAGE   \* MERGEFORMAT ">
          <w:r w:rsidR="00995585">
            <w:rPr>
              <w:noProof/>
            </w:rPr>
            <w:t>7</w:t>
          </w:r>
        </w:fldSimple>
      </w:p>
    </w:sdtContent>
  </w:sdt>
  <w:p w:rsidR="002E6F29" w:rsidRDefault="002E6F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84E" w:rsidRDefault="0070484E" w:rsidP="00627721">
      <w:pPr>
        <w:spacing w:after="0" w:line="240" w:lineRule="auto"/>
      </w:pPr>
      <w:r>
        <w:separator/>
      </w:r>
    </w:p>
  </w:footnote>
  <w:footnote w:type="continuationSeparator" w:id="1">
    <w:p w:rsidR="0070484E" w:rsidRDefault="0070484E" w:rsidP="006277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27721"/>
    <w:rsid w:val="00006DB1"/>
    <w:rsid w:val="000213EF"/>
    <w:rsid w:val="000C00BF"/>
    <w:rsid w:val="000F733B"/>
    <w:rsid w:val="00106D0B"/>
    <w:rsid w:val="0015398E"/>
    <w:rsid w:val="00246C1E"/>
    <w:rsid w:val="002E6F29"/>
    <w:rsid w:val="00510BD9"/>
    <w:rsid w:val="00627721"/>
    <w:rsid w:val="00635575"/>
    <w:rsid w:val="00663578"/>
    <w:rsid w:val="00695943"/>
    <w:rsid w:val="0070484E"/>
    <w:rsid w:val="00715F09"/>
    <w:rsid w:val="00860BC5"/>
    <w:rsid w:val="008C69B4"/>
    <w:rsid w:val="008F35E6"/>
    <w:rsid w:val="00995585"/>
    <w:rsid w:val="009D516A"/>
    <w:rsid w:val="00A26F05"/>
    <w:rsid w:val="00A41110"/>
    <w:rsid w:val="00B55B8D"/>
    <w:rsid w:val="00C40D45"/>
    <w:rsid w:val="00C528AB"/>
    <w:rsid w:val="00D93973"/>
    <w:rsid w:val="00E102A8"/>
    <w:rsid w:val="00E60CE1"/>
    <w:rsid w:val="00E77DD6"/>
    <w:rsid w:val="00E87B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7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27721"/>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627721"/>
    <w:rPr>
      <w:rFonts w:ascii="Times New Roman" w:eastAsia="Times New Roman" w:hAnsi="Times New Roman" w:cs="Times New Roman"/>
      <w:b/>
      <w:bCs/>
      <w:sz w:val="28"/>
      <w:szCs w:val="24"/>
    </w:rPr>
  </w:style>
  <w:style w:type="paragraph" w:styleId="Footer">
    <w:name w:val="footer"/>
    <w:basedOn w:val="Normal"/>
    <w:link w:val="FooterChar"/>
    <w:uiPriority w:val="99"/>
    <w:unhideWhenUsed/>
    <w:rsid w:val="00627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721"/>
  </w:style>
  <w:style w:type="paragraph" w:styleId="Header">
    <w:name w:val="header"/>
    <w:basedOn w:val="Normal"/>
    <w:link w:val="HeaderChar"/>
    <w:uiPriority w:val="99"/>
    <w:semiHidden/>
    <w:unhideWhenUsed/>
    <w:rsid w:val="006277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77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8</Pages>
  <Words>2491</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REGISTRAR</dc:creator>
  <cp:lastModifiedBy>DEPUTY REGISTRAR</cp:lastModifiedBy>
  <cp:revision>19</cp:revision>
  <cp:lastPrinted>2014-05-27T09:38:00Z</cp:lastPrinted>
  <dcterms:created xsi:type="dcterms:W3CDTF">2014-05-26T13:08:00Z</dcterms:created>
  <dcterms:modified xsi:type="dcterms:W3CDTF">2014-05-27T09:55:00Z</dcterms:modified>
</cp:coreProperties>
</file>