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2B" w:rsidRPr="00657833" w:rsidRDefault="00BF3F1D" w:rsidP="00657833">
      <w:pPr>
        <w:rPr>
          <w:rFonts w:ascii="Arial" w:eastAsia="Times New Roman" w:hAnsi="Arial" w:cs="Arial"/>
          <w:szCs w:val="24"/>
        </w:rPr>
      </w:pPr>
      <w:bookmarkStart w:id="0" w:name="_GoBack"/>
      <w:r w:rsidRPr="00657833"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34.4pt;margin-top:730.55pt;width:123.85pt;height:80.65pt;z-index:1096;mso-position-horizontal-relative:page;mso-position-vertical-relative:page">
            <v:imagedata r:id="rId7" o:title=""/>
            <w10:wrap anchorx="page" anchory="page"/>
          </v:shape>
        </w:pict>
      </w:r>
    </w:p>
    <w:p w:rsidR="003B242B" w:rsidRPr="00657833" w:rsidRDefault="003B242B" w:rsidP="00657833">
      <w:pPr>
        <w:spacing w:before="5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42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noProof/>
          <w:szCs w:val="24"/>
          <w:lang w:val="en-ZA" w:eastAsia="en-ZA"/>
        </w:rPr>
        <w:drawing>
          <wp:inline distT="0" distB="0" distL="0" distR="0">
            <wp:extent cx="1255776" cy="8290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2B" w:rsidRPr="00657833" w:rsidRDefault="00BF3F1D" w:rsidP="00657833">
      <w:pPr>
        <w:spacing w:before="108"/>
        <w:ind w:left="2798" w:right="2904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pict>
          <v:shape id="_x0000_s1033" type="#_x0000_t75" style="position:absolute;left:0;text-align:left;margin-left:461.75pt;margin-top:-27.85pt;width:119.05pt;height:69.1pt;z-index:1072;mso-position-horizontal-relative:page">
            <v:imagedata r:id="rId9" o:title=""/>
            <w10:wrap anchorx="page"/>
          </v:shape>
        </w:pict>
      </w:r>
      <w:r w:rsidRPr="00657833">
        <w:rPr>
          <w:rFonts w:ascii="Arial" w:hAnsi="Arial" w:cs="Arial"/>
          <w:b/>
          <w:szCs w:val="24"/>
        </w:rPr>
        <w:t>JUDICIARY</w:t>
      </w:r>
    </w:p>
    <w:p w:rsidR="00657833" w:rsidRPr="00657833" w:rsidRDefault="00BF3F1D" w:rsidP="00657833">
      <w:pPr>
        <w:spacing w:before="17"/>
        <w:ind w:left="2822" w:right="2879"/>
        <w:jc w:val="center"/>
        <w:rPr>
          <w:rFonts w:ascii="Arial" w:hAnsi="Arial" w:cs="Arial"/>
          <w:b/>
          <w:szCs w:val="24"/>
        </w:rPr>
      </w:pPr>
      <w:r w:rsidRPr="00657833">
        <w:rPr>
          <w:rFonts w:ascii="Arial" w:hAnsi="Arial" w:cs="Arial"/>
          <w:b/>
          <w:szCs w:val="24"/>
        </w:rPr>
        <w:t>IN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HIGH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COURT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MALA</w:t>
      </w:r>
      <w:r w:rsidRPr="00657833">
        <w:rPr>
          <w:rFonts w:ascii="Arial" w:hAnsi="Arial" w:cs="Arial"/>
          <w:b/>
          <w:szCs w:val="24"/>
        </w:rPr>
        <w:t>WI</w:t>
      </w:r>
    </w:p>
    <w:p w:rsidR="003B242B" w:rsidRPr="00657833" w:rsidRDefault="00BF3F1D" w:rsidP="00657833">
      <w:pPr>
        <w:spacing w:before="17"/>
        <w:ind w:left="2822" w:right="2879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PRINCIPAL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REGISTRY</w:t>
      </w:r>
    </w:p>
    <w:p w:rsidR="003B242B" w:rsidRPr="00657833" w:rsidRDefault="00BF3F1D" w:rsidP="00657833">
      <w:pPr>
        <w:ind w:left="2142" w:right="2904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CIVIL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APPEAL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NO.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20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2015</w:t>
      </w:r>
    </w:p>
    <w:p w:rsidR="003B242B" w:rsidRPr="00657833" w:rsidRDefault="00BF3F1D" w:rsidP="00657833">
      <w:pPr>
        <w:spacing w:before="69"/>
        <w:ind w:left="4179" w:right="632" w:hanging="4001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(Being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Civ</w:t>
      </w:r>
      <w:r w:rsidRPr="00657833">
        <w:rPr>
          <w:rFonts w:ascii="Arial" w:hAnsi="Arial" w:cs="Arial"/>
          <w:b/>
          <w:szCs w:val="24"/>
        </w:rPr>
        <w:t>il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Ca</w:t>
      </w:r>
      <w:r w:rsidRPr="00657833">
        <w:rPr>
          <w:rFonts w:ascii="Arial" w:hAnsi="Arial" w:cs="Arial"/>
          <w:b/>
          <w:szCs w:val="24"/>
        </w:rPr>
        <w:t>use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No.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77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2014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at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First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Grade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Magistrate's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Court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Sitting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at</w:t>
      </w:r>
      <w:r w:rsidRPr="00657833">
        <w:rPr>
          <w:rFonts w:ascii="Arial" w:hAnsi="Arial" w:cs="Arial"/>
          <w:b/>
          <w:szCs w:val="24"/>
        </w:rPr>
        <w:t xml:space="preserve"> </w:t>
      </w:r>
      <w:proofErr w:type="spellStart"/>
      <w:r w:rsidRPr="00657833">
        <w:rPr>
          <w:rFonts w:ascii="Arial" w:hAnsi="Arial" w:cs="Arial"/>
          <w:b/>
          <w:szCs w:val="24"/>
        </w:rPr>
        <w:t>Phalombe</w:t>
      </w:r>
      <w:proofErr w:type="spellEnd"/>
      <w:r w:rsidRPr="00657833">
        <w:rPr>
          <w:rFonts w:ascii="Arial" w:hAnsi="Arial" w:cs="Arial"/>
          <w:b/>
          <w:szCs w:val="24"/>
        </w:rPr>
        <w:t>)</w:t>
      </w:r>
    </w:p>
    <w:p w:rsidR="003B242B" w:rsidRPr="00657833" w:rsidRDefault="00BF3F1D" w:rsidP="00657833">
      <w:pPr>
        <w:spacing w:before="194"/>
        <w:ind w:left="2124" w:right="2904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BETWEEN</w:t>
      </w: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BF3F1D" w:rsidP="00657833">
      <w:pPr>
        <w:ind w:left="15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C</w:t>
      </w:r>
      <w:r w:rsidRPr="00657833">
        <w:rPr>
          <w:rFonts w:ascii="Arial" w:hAnsi="Arial" w:cs="Arial"/>
          <w:b/>
          <w:szCs w:val="24"/>
        </w:rPr>
        <w:t>A</w:t>
      </w:r>
      <w:r w:rsidRPr="00657833">
        <w:rPr>
          <w:rFonts w:ascii="Arial" w:hAnsi="Arial" w:cs="Arial"/>
          <w:b/>
          <w:szCs w:val="24"/>
        </w:rPr>
        <w:t>THERINE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M</w:t>
      </w:r>
      <w:r w:rsidRPr="00657833">
        <w:rPr>
          <w:rFonts w:ascii="Arial" w:hAnsi="Arial" w:cs="Arial"/>
          <w:b/>
          <w:szCs w:val="24"/>
        </w:rPr>
        <w:t>W</w:t>
      </w:r>
      <w:r w:rsidRPr="00657833">
        <w:rPr>
          <w:rFonts w:ascii="Arial" w:hAnsi="Arial" w:cs="Arial"/>
          <w:b/>
          <w:szCs w:val="24"/>
        </w:rPr>
        <w:t>ALA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b/>
          <w:szCs w:val="24"/>
        </w:rPr>
        <w:t>APPELLANT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BF3F1D" w:rsidP="00657833">
      <w:pPr>
        <w:ind w:left="2135" w:right="2904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-AND-</w:t>
      </w:r>
    </w:p>
    <w:p w:rsidR="003B242B" w:rsidRPr="00657833" w:rsidRDefault="003B242B" w:rsidP="00657833">
      <w:pPr>
        <w:spacing w:before="8"/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BF3F1D" w:rsidP="00657833">
      <w:pPr>
        <w:ind w:left="155" w:hanging="10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JOYCE</w:t>
      </w:r>
      <w:r w:rsidRPr="00657833">
        <w:rPr>
          <w:rFonts w:ascii="Arial" w:hAnsi="Arial" w:cs="Arial"/>
          <w:b/>
          <w:szCs w:val="24"/>
        </w:rPr>
        <w:t xml:space="preserve"> </w:t>
      </w:r>
      <w:proofErr w:type="gramStart"/>
      <w:r w:rsidRPr="00657833">
        <w:rPr>
          <w:rFonts w:ascii="Arial" w:hAnsi="Arial" w:cs="Arial"/>
          <w:b/>
          <w:szCs w:val="24"/>
        </w:rPr>
        <w:t>LI</w:t>
      </w:r>
      <w:r w:rsidRPr="00657833">
        <w:rPr>
          <w:rFonts w:ascii="Arial" w:hAnsi="Arial" w:cs="Arial"/>
          <w:b/>
          <w:szCs w:val="24"/>
        </w:rPr>
        <w:t>P</w:t>
      </w:r>
      <w:r w:rsidRPr="00657833">
        <w:rPr>
          <w:rFonts w:ascii="Arial" w:hAnsi="Arial" w:cs="Arial"/>
          <w:b/>
          <w:szCs w:val="24"/>
        </w:rPr>
        <w:t>A</w:t>
      </w:r>
      <w:r w:rsidRPr="00657833">
        <w:rPr>
          <w:rFonts w:ascii="Arial" w:hAnsi="Arial" w:cs="Arial"/>
          <w:b/>
          <w:szCs w:val="24"/>
        </w:rPr>
        <w:t>YA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...........................................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...</w:t>
      </w:r>
      <w:r w:rsidR="00657833" w:rsidRPr="00657833">
        <w:rPr>
          <w:rFonts w:ascii="Arial" w:hAnsi="Arial" w:cs="Arial"/>
          <w:szCs w:val="24"/>
        </w:rPr>
        <w:t>............</w:t>
      </w:r>
      <w:r w:rsidRPr="00657833">
        <w:rPr>
          <w:rFonts w:ascii="Arial" w:hAnsi="Arial" w:cs="Arial"/>
          <w:szCs w:val="24"/>
        </w:rPr>
        <w:t>....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..</w:t>
      </w:r>
      <w:r w:rsidRPr="00657833">
        <w:rPr>
          <w:rFonts w:ascii="Arial" w:hAnsi="Arial" w:cs="Arial"/>
          <w:szCs w:val="24"/>
        </w:rPr>
        <w:t>.</w:t>
      </w:r>
      <w:r w:rsidRPr="00657833">
        <w:rPr>
          <w:rFonts w:ascii="Arial" w:hAnsi="Arial" w:cs="Arial"/>
          <w:szCs w:val="24"/>
        </w:rPr>
        <w:t>.</w:t>
      </w:r>
      <w:proofErr w:type="gram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RESPONDENT</w:t>
      </w:r>
    </w:p>
    <w:p w:rsidR="003B242B" w:rsidRPr="00657833" w:rsidRDefault="003B242B" w:rsidP="00657833">
      <w:pPr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3B242B" w:rsidP="00657833">
      <w:pPr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BF3F1D" w:rsidP="00657833">
      <w:pPr>
        <w:spacing w:before="180"/>
        <w:ind w:left="15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CORAM: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H</w:t>
      </w:r>
      <w:r w:rsidRPr="00657833">
        <w:rPr>
          <w:rFonts w:ascii="Arial" w:hAnsi="Arial" w:cs="Arial"/>
          <w:b/>
          <w:szCs w:val="24"/>
        </w:rPr>
        <w:t>ONOURABLE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JUSTICE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KENYATTA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NYI</w:t>
      </w:r>
      <w:r w:rsidRPr="00657833">
        <w:rPr>
          <w:rFonts w:ascii="Arial" w:hAnsi="Arial" w:cs="Arial"/>
          <w:b/>
          <w:szCs w:val="24"/>
        </w:rPr>
        <w:t>RENDA</w:t>
      </w:r>
    </w:p>
    <w:p w:rsidR="00657833" w:rsidRPr="00657833" w:rsidRDefault="00BF3F1D" w:rsidP="00657833">
      <w:pPr>
        <w:pStyle w:val="BodyText"/>
        <w:spacing w:before="7"/>
        <w:ind w:left="145" w:right="4461" w:firstLine="0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Mr.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="00657833" w:rsidRPr="00657833">
        <w:rPr>
          <w:rFonts w:ascii="Arial" w:hAnsi="Arial" w:cs="Arial"/>
          <w:sz w:val="22"/>
          <w:szCs w:val="24"/>
        </w:rPr>
        <w:t>Appellant</w:t>
      </w:r>
    </w:p>
    <w:p w:rsidR="003B242B" w:rsidRPr="00657833" w:rsidRDefault="00BF3F1D" w:rsidP="00657833">
      <w:pPr>
        <w:pStyle w:val="BodyText"/>
        <w:spacing w:before="7"/>
        <w:ind w:left="145" w:right="4461" w:firstLine="0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Mr.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Mwala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</w:t>
      </w:r>
      <w:r w:rsidRPr="00657833">
        <w:rPr>
          <w:rFonts w:ascii="Arial" w:hAnsi="Arial" w:cs="Arial"/>
          <w:sz w:val="22"/>
          <w:szCs w:val="24"/>
        </w:rPr>
        <w:t>nsel,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Respondent</w:t>
      </w:r>
    </w:p>
    <w:p w:rsidR="003B242B" w:rsidRPr="00657833" w:rsidRDefault="00BF3F1D" w:rsidP="00657833">
      <w:pPr>
        <w:pStyle w:val="BodyText"/>
        <w:ind w:left="14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Mr.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="00657833" w:rsidRPr="00657833">
        <w:rPr>
          <w:rFonts w:ascii="Arial" w:hAnsi="Arial" w:cs="Arial"/>
          <w:sz w:val="22"/>
          <w:szCs w:val="24"/>
        </w:rPr>
        <w:t>O</w:t>
      </w:r>
      <w:r w:rsidRPr="00657833">
        <w:rPr>
          <w:rFonts w:ascii="Arial" w:hAnsi="Arial" w:cs="Arial"/>
          <w:sz w:val="22"/>
          <w:szCs w:val="24"/>
        </w:rPr>
        <w:t>.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Chitatu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, </w:t>
      </w:r>
      <w:r w:rsidRPr="00657833">
        <w:rPr>
          <w:rFonts w:ascii="Arial" w:hAnsi="Arial" w:cs="Arial"/>
          <w:sz w:val="22"/>
          <w:szCs w:val="24"/>
        </w:rPr>
        <w:t>C</w:t>
      </w:r>
      <w:r w:rsidRPr="00657833">
        <w:rPr>
          <w:rFonts w:ascii="Arial" w:hAnsi="Arial" w:cs="Arial"/>
          <w:sz w:val="22"/>
          <w:szCs w:val="24"/>
        </w:rPr>
        <w:t>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</w:t>
      </w:r>
      <w:r w:rsidRPr="00657833">
        <w:rPr>
          <w:rFonts w:ascii="Arial" w:hAnsi="Arial" w:cs="Arial"/>
          <w:sz w:val="22"/>
          <w:szCs w:val="24"/>
        </w:rPr>
        <w:t>e</w:t>
      </w:r>
      <w:r w:rsidRPr="00657833">
        <w:rPr>
          <w:rFonts w:ascii="Arial" w:hAnsi="Arial" w:cs="Arial"/>
          <w:sz w:val="22"/>
          <w:szCs w:val="24"/>
        </w:rPr>
        <w:t>rk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12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szCs w:val="24"/>
        </w:rPr>
      </w:r>
      <w:r w:rsidRPr="00657833">
        <w:rPr>
          <w:rFonts w:ascii="Arial" w:eastAsia="Times New Roman" w:hAnsi="Arial" w:cs="Arial"/>
          <w:szCs w:val="24"/>
        </w:rPr>
        <w:pict>
          <v:group id="_x0000_s1030" style="width:471.65pt;height:.5pt;mso-position-horizontal-relative:char;mso-position-vertical-relative:line" coordsize="9433,10">
            <v:group id="_x0000_s1031" style="position:absolute;left:5;top:5;width:9424;height:2" coordorigin="5,5" coordsize="9424,2">
              <v:shape id="_x0000_s1032" style="position:absolute;left:5;top:5;width:9424;height:2" coordorigin="5,5" coordsize="9424,0" path="m5,5r9423,e" filled="f" strokecolor="#74778c" strokeweight=".16842mm">
                <v:path arrowok="t"/>
              </v:shape>
            </v:group>
            <w10:anchorlock/>
          </v:group>
        </w:pic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657833" w:rsidP="00657833">
      <w:pPr>
        <w:ind w:left="112"/>
        <w:jc w:val="center"/>
        <w:rPr>
          <w:rFonts w:ascii="Arial" w:eastAsia="Times New Roman" w:hAnsi="Arial" w:cs="Arial"/>
          <w:b/>
          <w:szCs w:val="24"/>
        </w:rPr>
      </w:pPr>
      <w:r w:rsidRPr="00657833">
        <w:rPr>
          <w:rFonts w:ascii="Arial" w:eastAsia="Times New Roman" w:hAnsi="Arial" w:cs="Arial"/>
          <w:b/>
          <w:szCs w:val="24"/>
        </w:rPr>
        <w:t>JUDGEMENT</w:t>
      </w:r>
    </w:p>
    <w:p w:rsidR="003B242B" w:rsidRPr="00657833" w:rsidRDefault="00BF3F1D" w:rsidP="00657833">
      <w:pPr>
        <w:ind w:left="140"/>
        <w:jc w:val="both"/>
        <w:rPr>
          <w:rFonts w:ascii="Arial" w:eastAsia="Arial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Kenyatta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Nyirenda,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J</w:t>
      </w:r>
    </w:p>
    <w:p w:rsidR="003B242B" w:rsidRPr="00657833" w:rsidRDefault="00BF3F1D" w:rsidP="00657833">
      <w:pPr>
        <w:pStyle w:val="BodyText"/>
        <w:spacing w:before="130"/>
        <w:ind w:left="155" w:right="891" w:hanging="5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appea</w:t>
      </w:r>
      <w:r w:rsidRPr="00657833">
        <w:rPr>
          <w:rFonts w:ascii="Arial" w:hAnsi="Arial" w:cs="Arial"/>
          <w:sz w:val="22"/>
          <w:szCs w:val="24"/>
        </w:rPr>
        <w:t>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</w:t>
      </w:r>
      <w:r w:rsidRPr="00657833">
        <w:rPr>
          <w:rFonts w:ascii="Arial" w:hAnsi="Arial" w:cs="Arial"/>
          <w:sz w:val="22"/>
          <w:szCs w:val="24"/>
        </w:rPr>
        <w:t>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dissatis</w:t>
      </w:r>
      <w:r w:rsidRPr="00657833">
        <w:rPr>
          <w:rFonts w:ascii="Arial" w:hAnsi="Arial" w:cs="Arial"/>
          <w:sz w:val="22"/>
          <w:szCs w:val="24"/>
        </w:rPr>
        <w:t>fac</w:t>
      </w:r>
      <w:r w:rsidRPr="00657833">
        <w:rPr>
          <w:rFonts w:ascii="Arial" w:hAnsi="Arial" w:cs="Arial"/>
          <w:sz w:val="22"/>
          <w:szCs w:val="24"/>
        </w:rPr>
        <w:t>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decision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Third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Grade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Magistrate's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sitting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at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Phalombe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(lo</w:t>
      </w:r>
      <w:r w:rsidRPr="00657833">
        <w:rPr>
          <w:rFonts w:ascii="Arial" w:hAnsi="Arial" w:cs="Arial"/>
          <w:sz w:val="22"/>
          <w:szCs w:val="24"/>
        </w:rPr>
        <w:t>w</w:t>
      </w:r>
      <w:r w:rsidRPr="00657833">
        <w:rPr>
          <w:rFonts w:ascii="Arial" w:hAnsi="Arial" w:cs="Arial"/>
          <w:sz w:val="22"/>
          <w:szCs w:val="24"/>
        </w:rPr>
        <w:t>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contained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judgment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da</w:t>
      </w:r>
      <w:r w:rsidRPr="00657833">
        <w:rPr>
          <w:rFonts w:ascii="Arial" w:hAnsi="Arial" w:cs="Arial"/>
          <w:sz w:val="22"/>
          <w:szCs w:val="24"/>
        </w:rPr>
        <w:t>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19</w:t>
      </w:r>
      <w:r w:rsidRPr="00657833">
        <w:rPr>
          <w:rFonts w:ascii="Arial" w:hAnsi="Arial" w:cs="Arial"/>
          <w:sz w:val="22"/>
          <w:szCs w:val="24"/>
        </w:rPr>
        <w:t>t</w:t>
      </w:r>
      <w:r w:rsidRPr="00657833">
        <w:rPr>
          <w:rFonts w:ascii="Arial" w:hAnsi="Arial" w:cs="Arial"/>
          <w:sz w:val="22"/>
          <w:szCs w:val="24"/>
        </w:rPr>
        <w:t>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Januar</w:t>
      </w:r>
      <w:r w:rsidRPr="00657833">
        <w:rPr>
          <w:rFonts w:ascii="Arial" w:hAnsi="Arial" w:cs="Arial"/>
          <w:sz w:val="22"/>
          <w:szCs w:val="24"/>
        </w:rPr>
        <w:t>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2015</w:t>
      </w:r>
      <w:r w:rsidRPr="00657833">
        <w:rPr>
          <w:rFonts w:ascii="Arial" w:hAnsi="Arial" w:cs="Arial"/>
          <w:sz w:val="22"/>
          <w:szCs w:val="24"/>
        </w:rPr>
        <w:t>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found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Respondent.</w:t>
      </w:r>
    </w:p>
    <w:p w:rsidR="003B242B" w:rsidRPr="00657833" w:rsidRDefault="00BF3F1D" w:rsidP="00657833">
      <w:pPr>
        <w:pStyle w:val="BodyText"/>
        <w:spacing w:before="124"/>
        <w:ind w:left="150" w:right="632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dissatisfied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whole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judgement </w:t>
      </w:r>
      <w:r w:rsidRPr="00657833">
        <w:rPr>
          <w:rFonts w:ascii="Arial" w:hAnsi="Arial" w:cs="Arial"/>
          <w:sz w:val="22"/>
          <w:szCs w:val="24"/>
        </w:rPr>
        <w:t>o</w:t>
      </w:r>
      <w:r w:rsidRPr="00657833">
        <w:rPr>
          <w:rFonts w:ascii="Arial" w:hAnsi="Arial" w:cs="Arial"/>
          <w:sz w:val="22"/>
          <w:szCs w:val="24"/>
        </w:rPr>
        <w:t>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</w:t>
      </w:r>
      <w:r w:rsidRPr="00657833">
        <w:rPr>
          <w:rFonts w:ascii="Arial" w:hAnsi="Arial" w:cs="Arial"/>
          <w:sz w:val="22"/>
          <w:szCs w:val="24"/>
        </w:rPr>
        <w:t>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forward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si</w:t>
      </w:r>
      <w:r w:rsidRPr="00657833">
        <w:rPr>
          <w:rFonts w:ascii="Arial" w:hAnsi="Arial" w:cs="Arial"/>
          <w:sz w:val="22"/>
          <w:szCs w:val="24"/>
        </w:rPr>
        <w:t>x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grounds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appeal:</w:t>
      </w:r>
    </w:p>
    <w:p w:rsidR="003B242B" w:rsidRPr="00657833" w:rsidRDefault="003B242B" w:rsidP="00657833">
      <w:pPr>
        <w:spacing w:before="2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587" w:right="852" w:hanging="678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"3.1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Le</w:t>
      </w:r>
      <w:r w:rsidRPr="00657833">
        <w:rPr>
          <w:rFonts w:ascii="Arial" w:hAnsi="Arial" w:cs="Arial"/>
          <w:i/>
          <w:szCs w:val="24"/>
        </w:rPr>
        <w:t>arned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Magistrate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er</w:t>
      </w:r>
      <w:r w:rsidRPr="00657833">
        <w:rPr>
          <w:rFonts w:ascii="Arial" w:hAnsi="Arial" w:cs="Arial"/>
          <w:i/>
          <w:szCs w:val="24"/>
        </w:rPr>
        <w:t>r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</w:t>
      </w:r>
      <w:r w:rsidRPr="00657833">
        <w:rPr>
          <w:rFonts w:ascii="Arial" w:hAnsi="Arial" w:cs="Arial"/>
          <w:i/>
          <w:szCs w:val="24"/>
        </w:rPr>
        <w:t>h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fail</w:t>
      </w:r>
      <w:r w:rsidRPr="00657833">
        <w:rPr>
          <w:rFonts w:ascii="Arial" w:hAnsi="Arial" w:cs="Arial"/>
          <w:i/>
          <w:szCs w:val="24"/>
        </w:rPr>
        <w:t>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</w:t>
      </w:r>
      <w:r w:rsidRPr="00657833">
        <w:rPr>
          <w:rFonts w:ascii="Arial" w:hAnsi="Arial" w:cs="Arial"/>
          <w:i/>
          <w:szCs w:val="24"/>
        </w:rPr>
        <w:t>reciate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Appellant</w:t>
      </w:r>
      <w:r w:rsidRPr="00657833">
        <w:rPr>
          <w:rFonts w:ascii="Arial" w:hAnsi="Arial" w:cs="Arial"/>
          <w:i/>
          <w:szCs w:val="24"/>
        </w:rPr>
        <w:t>'s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res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n</w:t>
      </w:r>
      <w:r w:rsidRPr="00657833">
        <w:rPr>
          <w:rFonts w:ascii="Arial" w:hAnsi="Arial" w:cs="Arial"/>
          <w:i/>
          <w:szCs w:val="24"/>
        </w:rPr>
        <w:t>t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fore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</w:t>
      </w:r>
      <w:r w:rsidRPr="00657833">
        <w:rPr>
          <w:rFonts w:ascii="Arial" w:hAnsi="Arial" w:cs="Arial"/>
          <w:i/>
          <w:szCs w:val="24"/>
        </w:rPr>
        <w:t>m</w:t>
      </w:r>
      <w:r w:rsidRPr="00657833">
        <w:rPr>
          <w:rFonts w:ascii="Arial" w:hAnsi="Arial" w:cs="Arial"/>
          <w:i/>
          <w:szCs w:val="24"/>
        </w:rPr>
        <w:t>.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97"/>
        </w:tabs>
        <w:ind w:left="1587" w:right="874" w:hanging="597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3.2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</w:t>
      </w:r>
      <w:r w:rsidR="00BF3F1D" w:rsidRPr="00657833">
        <w:rPr>
          <w:rFonts w:ascii="Arial" w:hAnsi="Arial" w:cs="Arial"/>
          <w:i/>
          <w:szCs w:val="24"/>
        </w:rPr>
        <w:t>earned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>r</w:t>
      </w:r>
      <w:r w:rsidR="00BF3F1D" w:rsidRPr="00657833">
        <w:rPr>
          <w:rFonts w:ascii="Arial" w:hAnsi="Arial" w:cs="Arial"/>
          <w:i/>
          <w:szCs w:val="24"/>
        </w:rPr>
        <w:t>re</w:t>
      </w:r>
      <w:r w:rsidR="00BF3F1D" w:rsidRPr="00657833">
        <w:rPr>
          <w:rFonts w:ascii="Arial" w:hAnsi="Arial" w:cs="Arial"/>
          <w:i/>
          <w:szCs w:val="24"/>
        </w:rPr>
        <w:t>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</w:t>
      </w:r>
      <w:r w:rsidR="00BF3F1D" w:rsidRPr="00657833">
        <w:rPr>
          <w:rFonts w:ascii="Arial" w:hAnsi="Arial" w:cs="Arial"/>
          <w:i/>
          <w:szCs w:val="24"/>
        </w:rPr>
        <w:t>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dis</w:t>
      </w:r>
      <w:r w:rsidR="00BF3F1D" w:rsidRPr="00657833">
        <w:rPr>
          <w:rFonts w:ascii="Arial" w:hAnsi="Arial" w:cs="Arial"/>
          <w:i/>
          <w:szCs w:val="24"/>
        </w:rPr>
        <w:t>r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>g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>rdi</w:t>
      </w:r>
      <w:r w:rsidR="00BF3F1D" w:rsidRPr="00657833">
        <w:rPr>
          <w:rFonts w:ascii="Arial" w:hAnsi="Arial" w:cs="Arial"/>
          <w:i/>
          <w:szCs w:val="24"/>
        </w:rPr>
        <w:t>n</w:t>
      </w:r>
      <w:r w:rsidR="00BF3F1D" w:rsidRPr="00657833">
        <w:rPr>
          <w:rFonts w:ascii="Arial" w:hAnsi="Arial" w:cs="Arial"/>
          <w:i/>
          <w:szCs w:val="24"/>
        </w:rPr>
        <w:t>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</w:t>
      </w:r>
      <w:r w:rsidR="00BF3F1D" w:rsidRPr="00657833">
        <w:rPr>
          <w:rFonts w:ascii="Arial" w:hAnsi="Arial" w:cs="Arial"/>
          <w:i/>
          <w:szCs w:val="24"/>
        </w:rPr>
        <w:t>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existence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using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ev</w:t>
      </w:r>
      <w:r w:rsidR="00BF3F1D" w:rsidRPr="00657833">
        <w:rPr>
          <w:rFonts w:ascii="Arial" w:hAnsi="Arial" w:cs="Arial"/>
          <w:i/>
          <w:szCs w:val="24"/>
        </w:rPr>
        <w:t>id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>n</w:t>
      </w:r>
      <w:r w:rsidR="00BF3F1D" w:rsidRPr="00657833">
        <w:rPr>
          <w:rFonts w:ascii="Arial" w:hAnsi="Arial" w:cs="Arial"/>
          <w:i/>
          <w:szCs w:val="24"/>
        </w:rPr>
        <w:t>ce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adm</w:t>
      </w:r>
      <w:r w:rsidR="00BF3F1D" w:rsidRPr="00657833">
        <w:rPr>
          <w:rFonts w:ascii="Arial" w:hAnsi="Arial" w:cs="Arial"/>
          <w:i/>
          <w:szCs w:val="24"/>
        </w:rPr>
        <w:t>issi</w:t>
      </w:r>
      <w:r w:rsidR="00BF3F1D" w:rsidRPr="00657833">
        <w:rPr>
          <w:rFonts w:ascii="Arial" w:hAnsi="Arial" w:cs="Arial"/>
          <w:i/>
          <w:szCs w:val="24"/>
        </w:rPr>
        <w:t>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te</w:t>
      </w:r>
      <w:r w:rsidR="00BF3F1D" w:rsidRPr="00657833">
        <w:rPr>
          <w:rFonts w:ascii="Arial" w:hAnsi="Arial" w:cs="Arial"/>
          <w:i/>
          <w:szCs w:val="24"/>
        </w:rPr>
        <w:t>s</w:t>
      </w:r>
      <w:r w:rsidR="00BF3F1D" w:rsidRPr="00657833">
        <w:rPr>
          <w:rFonts w:ascii="Arial" w:hAnsi="Arial" w:cs="Arial"/>
          <w:i/>
          <w:szCs w:val="24"/>
        </w:rPr>
        <w:t>ts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provided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</w:t>
      </w:r>
      <w:r w:rsidR="00BF3F1D" w:rsidRPr="00657833">
        <w:rPr>
          <w:rFonts w:ascii="Arial" w:hAnsi="Arial" w:cs="Arial"/>
          <w:i/>
          <w:szCs w:val="24"/>
        </w:rPr>
        <w:t>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CP&amp;EC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civil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</w:t>
      </w:r>
      <w:r w:rsidR="00BF3F1D" w:rsidRPr="00657833">
        <w:rPr>
          <w:rFonts w:ascii="Arial" w:hAnsi="Arial" w:cs="Arial"/>
          <w:i/>
          <w:szCs w:val="24"/>
        </w:rPr>
        <w:t>at</w:t>
      </w:r>
      <w:r w:rsidR="00BF3F1D" w:rsidRPr="00657833">
        <w:rPr>
          <w:rFonts w:ascii="Arial" w:hAnsi="Arial" w:cs="Arial"/>
          <w:i/>
          <w:szCs w:val="24"/>
        </w:rPr>
        <w:t>t</w:t>
      </w:r>
      <w:r w:rsidR="00BF3F1D" w:rsidRPr="00657833">
        <w:rPr>
          <w:rFonts w:ascii="Arial" w:hAnsi="Arial" w:cs="Arial"/>
          <w:i/>
          <w:szCs w:val="24"/>
        </w:rPr>
        <w:t>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</w:t>
      </w:r>
      <w:r w:rsidR="00BF3F1D" w:rsidRPr="00657833">
        <w:rPr>
          <w:rFonts w:ascii="Arial" w:hAnsi="Arial" w:cs="Arial"/>
          <w:i/>
          <w:szCs w:val="24"/>
        </w:rPr>
        <w:t>h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>id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</w:t>
      </w:r>
      <w:r w:rsidR="00BF3F1D" w:rsidRPr="00657833">
        <w:rPr>
          <w:rFonts w:ascii="Arial" w:hAnsi="Arial" w:cs="Arial"/>
          <w:i/>
          <w:szCs w:val="24"/>
        </w:rPr>
        <w:t>o</w:t>
      </w:r>
      <w:r w:rsidR="00BF3F1D" w:rsidRPr="00657833">
        <w:rPr>
          <w:rFonts w:ascii="Arial" w:hAnsi="Arial" w:cs="Arial"/>
          <w:i/>
          <w:szCs w:val="24"/>
        </w:rPr>
        <w:t>d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does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n</w:t>
      </w:r>
      <w:r w:rsidR="00BF3F1D" w:rsidRPr="00657833">
        <w:rPr>
          <w:rFonts w:ascii="Arial" w:hAnsi="Arial" w:cs="Arial"/>
          <w:i/>
          <w:szCs w:val="24"/>
        </w:rPr>
        <w:t>o</w:t>
      </w:r>
      <w:r w:rsidR="00BF3F1D" w:rsidRPr="00657833">
        <w:rPr>
          <w:rFonts w:ascii="Arial" w:hAnsi="Arial" w:cs="Arial"/>
          <w:i/>
          <w:szCs w:val="24"/>
        </w:rPr>
        <w:t>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>p</w:t>
      </w:r>
      <w:r w:rsidR="00BF3F1D" w:rsidRPr="00657833">
        <w:rPr>
          <w:rFonts w:ascii="Arial" w:hAnsi="Arial" w:cs="Arial"/>
          <w:i/>
          <w:szCs w:val="24"/>
        </w:rPr>
        <w:t>p</w:t>
      </w:r>
      <w:r w:rsidR="00BF3F1D" w:rsidRPr="00657833">
        <w:rPr>
          <w:rFonts w:ascii="Arial" w:hAnsi="Arial" w:cs="Arial"/>
          <w:i/>
          <w:szCs w:val="24"/>
        </w:rPr>
        <w:t>l</w:t>
      </w:r>
      <w:r w:rsidR="00BF3F1D" w:rsidRPr="00657833">
        <w:rPr>
          <w:rFonts w:ascii="Arial" w:hAnsi="Arial" w:cs="Arial"/>
          <w:i/>
          <w:szCs w:val="24"/>
        </w:rPr>
        <w:t>y.</w:t>
      </w:r>
    </w:p>
    <w:p w:rsidR="003B242B" w:rsidRPr="00657833" w:rsidRDefault="003B242B" w:rsidP="00657833">
      <w:pPr>
        <w:jc w:val="both"/>
        <w:rPr>
          <w:rFonts w:ascii="Arial" w:eastAsia="Times New Roman" w:hAnsi="Arial" w:cs="Arial"/>
          <w:szCs w:val="24"/>
        </w:rPr>
        <w:sectPr w:rsidR="003B242B" w:rsidRPr="00657833">
          <w:headerReference w:type="default" r:id="rId10"/>
          <w:footerReference w:type="default" r:id="rId11"/>
          <w:type w:val="continuous"/>
          <w:pgSz w:w="12240" w:h="17020"/>
          <w:pgMar w:top="1100" w:right="520" w:bottom="2940" w:left="1320" w:header="904" w:footer="2751" w:gutter="0"/>
          <w:pgNumType w:start="1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42"/>
        </w:tabs>
        <w:spacing w:before="69"/>
        <w:ind w:left="1532" w:right="183" w:hanging="59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3.3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Learned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erred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not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properly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applying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evidence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presented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before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misconstrued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said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will.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47"/>
        </w:tabs>
        <w:ind w:left="1546" w:hanging="61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3.4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below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had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n</w:t>
      </w:r>
      <w:r w:rsidR="00BF3F1D" w:rsidRPr="00657833">
        <w:rPr>
          <w:rFonts w:ascii="Arial" w:hAnsi="Arial" w:cs="Arial"/>
          <w:i/>
          <w:szCs w:val="24"/>
        </w:rPr>
        <w:t>o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jurisdiction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where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matters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title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 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concerned.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47"/>
        </w:tabs>
        <w:ind w:left="1532" w:right="169" w:hanging="594"/>
        <w:rPr>
          <w:rFonts w:ascii="Arial" w:eastAsia="Arial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3.5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Learned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erred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fact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holding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="00BF3F1D" w:rsidRPr="00657833">
        <w:rPr>
          <w:rFonts w:ascii="Arial" w:hAnsi="Arial" w:cs="Arial"/>
          <w:i/>
          <w:szCs w:val="24"/>
        </w:rPr>
        <w:t>dambo</w:t>
      </w:r>
      <w:proofErr w:type="spellEnd"/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belongs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Respondent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despite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evidence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 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Appellant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father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left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which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stated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all 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belongs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children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had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cultivating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said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</w:t>
      </w:r>
      <w:r w:rsidR="00BF3F1D" w:rsidRPr="00657833">
        <w:rPr>
          <w:rFonts w:ascii="Arial" w:hAnsi="Arial" w:cs="Arial"/>
          <w:i/>
          <w:szCs w:val="24"/>
        </w:rPr>
        <w:t>d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over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30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years.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JI</w:t>
      </w:r>
    </w:p>
    <w:p w:rsidR="003B242B" w:rsidRPr="00657833" w:rsidRDefault="003B242B" w:rsidP="00657833">
      <w:pPr>
        <w:spacing w:before="2"/>
        <w:rPr>
          <w:rFonts w:ascii="Arial" w:eastAsia="Arial" w:hAnsi="Arial" w:cs="Arial"/>
          <w:i/>
          <w:szCs w:val="24"/>
        </w:rPr>
      </w:pPr>
    </w:p>
    <w:p w:rsidR="003B242B" w:rsidRPr="00657833" w:rsidRDefault="00BF3F1D" w:rsidP="00657833">
      <w:pPr>
        <w:pStyle w:val="BodyText"/>
        <w:ind w:left="100" w:right="163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essentially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raises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three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issues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determination,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namely,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(a)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whether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adjudicate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over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case,</w:t>
      </w:r>
      <w:r w:rsidR="00657833" w:rsidRPr="00657833">
        <w:rPr>
          <w:rFonts w:ascii="Arial" w:hAnsi="Arial" w:cs="Arial"/>
          <w:sz w:val="22"/>
          <w:szCs w:val="24"/>
        </w:rPr>
        <w:t xml:space="preserve"> (b) </w:t>
      </w:r>
      <w:r w:rsidRPr="00657833">
        <w:rPr>
          <w:rFonts w:ascii="Arial" w:hAnsi="Arial" w:cs="Arial"/>
          <w:sz w:val="22"/>
          <w:szCs w:val="24"/>
        </w:rPr>
        <w:t>whether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applicable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(c</w:t>
      </w:r>
      <w:r w:rsidRPr="00657833">
        <w:rPr>
          <w:rFonts w:ascii="Arial" w:hAnsi="Arial" w:cs="Arial"/>
          <w:sz w:val="22"/>
          <w:szCs w:val="24"/>
        </w:rPr>
        <w:t>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whether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intestacy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applicable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question.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00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Jurisdiction</w:t>
      </w:r>
    </w:p>
    <w:p w:rsidR="003B242B" w:rsidRPr="00657833" w:rsidRDefault="003B242B" w:rsidP="00657833">
      <w:pPr>
        <w:spacing w:before="10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00" w:right="16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contended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due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unable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accept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fair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looking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framed,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give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impression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convinced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framed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thus: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823" w:right="157" w:firstLine="38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</w:t>
      </w:r>
      <w:r w:rsidRPr="00657833">
        <w:rPr>
          <w:rFonts w:ascii="Arial" w:hAnsi="Arial" w:cs="Arial"/>
          <w:i/>
          <w:szCs w:val="24"/>
        </w:rPr>
        <w:t>4.6.2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record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clear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matter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presided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over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third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grade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magistrate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clearly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would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 no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jurisdiction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over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 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magnitud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Since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title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contention,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the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magistrate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court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needed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to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move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with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c</w:t>
      </w:r>
      <w:r w:rsidRPr="00657833">
        <w:rPr>
          <w:rFonts w:ascii="Arial" w:hAnsi="Arial" w:cs="Arial"/>
          <w:i/>
          <w:szCs w:val="24"/>
        </w:rPr>
        <w:t>aution.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JI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-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Emphasis</w:t>
      </w:r>
      <w:r w:rsidR="00657833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underlining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supplied</w:t>
      </w: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05" w:right="166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wording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tells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own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story.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basis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wording,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 Appellant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deny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vested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determine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matter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before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should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moved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caution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title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contested.</w:t>
      </w: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10" w:right="156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applicable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subordinate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39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 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might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helpful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whole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reproduced:</w:t>
      </w:r>
    </w:p>
    <w:p w:rsidR="003B242B" w:rsidRPr="00657833" w:rsidRDefault="003B242B" w:rsidP="00657833">
      <w:pPr>
        <w:spacing w:before="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833" w:right="133" w:firstLine="38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"(1)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Subject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written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exercise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their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civil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jurisdiction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magistrates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shall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jurisdiction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try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determine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civil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matter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whereof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amount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dispute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value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subject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matter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exceed</w:t>
      </w:r>
      <w:r w:rsidRPr="00657833">
        <w:rPr>
          <w:rFonts w:ascii="Arial" w:hAnsi="Arial" w:cs="Arial"/>
          <w:i/>
          <w:szCs w:val="24"/>
        </w:rPr>
        <w:t>-</w:t>
      </w:r>
    </w:p>
    <w:p w:rsidR="003B242B" w:rsidRPr="00657833" w:rsidRDefault="003B242B" w:rsidP="00657833">
      <w:pPr>
        <w:jc w:val="both"/>
        <w:rPr>
          <w:rFonts w:ascii="Arial" w:eastAsia="Times New Roman" w:hAnsi="Arial" w:cs="Arial"/>
          <w:szCs w:val="24"/>
        </w:rPr>
        <w:sectPr w:rsidR="003B242B" w:rsidRPr="00657833">
          <w:pgSz w:w="12240" w:h="17020"/>
          <w:pgMar w:top="1100" w:right="1240" w:bottom="2940" w:left="1340" w:header="904" w:footer="2751" w:gutter="0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3B242B" w:rsidP="00657833">
      <w:pPr>
        <w:spacing w:before="8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1"/>
        </w:tabs>
        <w:spacing w:before="71"/>
        <w:ind w:left="2260" w:hanging="708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(a)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Resident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K2,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000,</w:t>
      </w:r>
      <w:r w:rsidR="00BF3F1D" w:rsidRPr="00657833">
        <w:rPr>
          <w:rFonts w:ascii="Arial" w:hAnsi="Arial" w:cs="Arial"/>
          <w:i/>
          <w:szCs w:val="24"/>
        </w:rPr>
        <w:t>000</w:t>
      </w:r>
      <w:r w:rsidR="00BF3F1D" w:rsidRPr="00657833">
        <w:rPr>
          <w:rFonts w:ascii="Arial" w:hAnsi="Arial" w:cs="Arial"/>
          <w:i/>
          <w:szCs w:val="24"/>
        </w:rPr>
        <w:t>;</w:t>
      </w:r>
    </w:p>
    <w:p w:rsidR="003B242B" w:rsidRPr="00657833" w:rsidRDefault="003B242B" w:rsidP="00657833">
      <w:pPr>
        <w:spacing w:before="8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6"/>
        </w:tabs>
        <w:ind w:left="2265" w:hanging="71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(b)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first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grade,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gramStart"/>
      <w:r w:rsidRPr="00657833">
        <w:rPr>
          <w:rFonts w:ascii="Arial" w:hAnsi="Arial" w:cs="Arial"/>
          <w:i/>
          <w:szCs w:val="24"/>
        </w:rPr>
        <w:t>K1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,</w:t>
      </w:r>
      <w:r w:rsidR="00BF3F1D" w:rsidRPr="00657833">
        <w:rPr>
          <w:rFonts w:ascii="Arial" w:hAnsi="Arial" w:cs="Arial"/>
          <w:i/>
          <w:szCs w:val="24"/>
        </w:rPr>
        <w:t>500,000</w:t>
      </w:r>
      <w:proofErr w:type="gramEnd"/>
      <w:r w:rsidR="00BF3F1D" w:rsidRPr="00657833">
        <w:rPr>
          <w:rFonts w:ascii="Arial" w:hAnsi="Arial" w:cs="Arial"/>
          <w:i/>
          <w:szCs w:val="24"/>
        </w:rPr>
        <w:t>;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6"/>
        </w:tabs>
        <w:ind w:left="2265" w:hanging="7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(c)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second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grade,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gramStart"/>
      <w:r w:rsidRPr="00657833">
        <w:rPr>
          <w:rFonts w:ascii="Arial" w:hAnsi="Arial" w:cs="Arial"/>
          <w:i/>
          <w:szCs w:val="24"/>
        </w:rPr>
        <w:t>K1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,000,000</w:t>
      </w:r>
      <w:proofErr w:type="gramEnd"/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;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6"/>
        </w:tabs>
        <w:ind w:left="2265" w:hanging="7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(d)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third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grade,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K750</w:t>
      </w:r>
      <w:proofErr w:type="gramStart"/>
      <w:r w:rsidR="00BF3F1D" w:rsidRPr="00657833">
        <w:rPr>
          <w:rFonts w:ascii="Arial" w:hAnsi="Arial" w:cs="Arial"/>
          <w:i/>
          <w:szCs w:val="24"/>
        </w:rPr>
        <w:t>,</w:t>
      </w:r>
      <w:r w:rsidR="00BF3F1D" w:rsidRPr="00657833">
        <w:rPr>
          <w:rFonts w:ascii="Arial" w:hAnsi="Arial" w:cs="Arial"/>
          <w:i/>
          <w:szCs w:val="24"/>
        </w:rPr>
        <w:t>000</w:t>
      </w:r>
      <w:proofErr w:type="gramEnd"/>
      <w:r w:rsidR="00BF3F1D" w:rsidRPr="00657833">
        <w:rPr>
          <w:rFonts w:ascii="Arial" w:hAnsi="Arial" w:cs="Arial"/>
          <w:i/>
          <w:szCs w:val="24"/>
        </w:rPr>
        <w:t>;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6"/>
        </w:tabs>
        <w:ind w:left="2265" w:hanging="7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(e)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 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magistrate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</w:t>
      </w:r>
      <w:r w:rsidR="00BF3F1D"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fourth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grade,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K500,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000</w:t>
      </w:r>
      <w:r w:rsidR="00BF3F1D" w:rsidRPr="00657833">
        <w:rPr>
          <w:rFonts w:ascii="Arial" w:hAnsi="Arial" w:cs="Arial"/>
          <w:i/>
          <w:szCs w:val="24"/>
        </w:rPr>
        <w:t>.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38"/>
        </w:tabs>
        <w:ind w:left="1547" w:right="510" w:hanging="7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(2)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Notwithstanding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subsection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(1),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no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subordinate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court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shall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have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jurisdiction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deal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with,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try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determine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civil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matter-</w:t>
      </w:r>
    </w:p>
    <w:p w:rsidR="003B242B" w:rsidRPr="00657833" w:rsidRDefault="003B242B" w:rsidP="00657833">
      <w:pPr>
        <w:spacing w:before="5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71"/>
        </w:tabs>
        <w:ind w:left="2279" w:right="282" w:hanging="72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(a)</w:t>
      </w:r>
      <w:r w:rsidRPr="00657833">
        <w:rPr>
          <w:rFonts w:ascii="Arial" w:eastAsia="Times New Roman" w:hAnsi="Arial" w:cs="Arial"/>
          <w:i/>
          <w:szCs w:val="24"/>
        </w:rPr>
        <w:tab/>
      </w:r>
      <w:proofErr w:type="gramStart"/>
      <w:r w:rsidR="00BF3F1D" w:rsidRPr="00657833">
        <w:rPr>
          <w:rFonts w:ascii="Arial" w:hAnsi="Arial" w:cs="Arial"/>
          <w:i/>
          <w:szCs w:val="24"/>
          <w:u w:val="single" w:color="000000"/>
        </w:rPr>
        <w:t>whenever</w:t>
      </w:r>
      <w:proofErr w:type="gramEnd"/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the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title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to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or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ownershi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p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of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and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which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is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not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customar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y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land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in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question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save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as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is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provided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b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y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section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156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o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f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the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Registered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Land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="00BF3F1D" w:rsidRPr="00657833">
        <w:rPr>
          <w:rFonts w:ascii="Arial" w:hAnsi="Arial" w:cs="Arial"/>
          <w:i/>
          <w:szCs w:val="24"/>
          <w:u w:val="single" w:color="000000"/>
        </w:rPr>
        <w:t>Act</w:t>
      </w:r>
      <w:r w:rsidR="00BF3F1D" w:rsidRPr="00657833">
        <w:rPr>
          <w:rFonts w:ascii="Arial" w:hAnsi="Arial" w:cs="Arial"/>
          <w:i/>
          <w:szCs w:val="24"/>
        </w:rPr>
        <w:t>;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71"/>
        </w:tabs>
        <w:ind w:left="2270" w:hanging="714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(b)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For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injunction,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75"/>
        </w:tabs>
        <w:ind w:left="2274" w:hanging="71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(c)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For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cancellation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rectification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instruments,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99"/>
        </w:tabs>
        <w:ind w:left="2279" w:right="439" w:hanging="718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(d)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Wherein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guardianship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custody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infants,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under customary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question,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unless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jurisdiction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specifically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provided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under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written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law;</w:t>
      </w:r>
    </w:p>
    <w:p w:rsidR="003B242B" w:rsidRPr="00657833" w:rsidRDefault="003B242B" w:rsidP="00657833">
      <w:pPr>
        <w:spacing w:before="10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75"/>
        </w:tabs>
        <w:ind w:left="2231" w:right="439" w:hanging="670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(e)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except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specifically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provided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written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</w:t>
      </w:r>
      <w:r w:rsidR="00BF3F1D" w:rsidRPr="00657833">
        <w:rPr>
          <w:rFonts w:ascii="Arial" w:hAnsi="Arial" w:cs="Arial"/>
          <w:i/>
          <w:szCs w:val="24"/>
        </w:rPr>
        <w:t>w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time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force,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wherein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validity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dissolution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marriage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celebrated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under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Marriage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Act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customary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law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question;</w:t>
      </w:r>
    </w:p>
    <w:p w:rsidR="003B242B" w:rsidRPr="00657833" w:rsidRDefault="003B242B" w:rsidP="00657833">
      <w:pPr>
        <w:spacing w:before="5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tabs>
          <w:tab w:val="left" w:pos="2279"/>
        </w:tabs>
        <w:ind w:left="1566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(/)</w:t>
      </w:r>
      <w:r w:rsidRPr="00657833">
        <w:rPr>
          <w:rFonts w:ascii="Arial" w:hAnsi="Arial" w:cs="Arial"/>
          <w:i/>
          <w:szCs w:val="24"/>
        </w:rPr>
        <w:tab/>
      </w:r>
      <w:r w:rsidRPr="00657833">
        <w:rPr>
          <w:rFonts w:ascii="Arial" w:hAnsi="Arial" w:cs="Arial"/>
          <w:i/>
          <w:szCs w:val="24"/>
        </w:rPr>
        <w:t>Relating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title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right,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duty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office;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74"/>
          <w:tab w:val="left" w:pos="3217"/>
          <w:tab w:val="left" w:pos="5065"/>
          <w:tab w:val="left" w:pos="7736"/>
          <w:tab w:val="left" w:pos="8215"/>
        </w:tabs>
        <w:ind w:left="2289" w:right="193" w:hanging="723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(g)</w:t>
      </w:r>
      <w:r w:rsidRPr="00657833">
        <w:rPr>
          <w:rFonts w:ascii="Arial" w:hAnsi="Arial" w:cs="Arial"/>
          <w:i/>
          <w:szCs w:val="24"/>
        </w:rPr>
        <w:tab/>
        <w:t xml:space="preserve">Seeking </w:t>
      </w:r>
      <w:r w:rsidR="00BF3F1D"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declaratory </w:t>
      </w:r>
      <w:r w:rsidR="00BF3F1D" w:rsidRPr="00657833">
        <w:rPr>
          <w:rFonts w:ascii="Arial" w:hAnsi="Arial" w:cs="Arial"/>
          <w:i/>
          <w:szCs w:val="24"/>
        </w:rPr>
        <w:t>decree.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gramStart"/>
      <w:r w:rsidR="00BF3F1D" w:rsidRPr="00657833">
        <w:rPr>
          <w:rFonts w:ascii="Arial" w:hAnsi="Arial" w:cs="Arial"/>
          <w:szCs w:val="24"/>
        </w:rPr>
        <w:t>"</w:t>
      </w:r>
      <w:r w:rsidRPr="00657833">
        <w:rPr>
          <w:rFonts w:ascii="Arial" w:hAnsi="Arial" w:cs="Arial"/>
          <w:szCs w:val="24"/>
        </w:rPr>
        <w:t xml:space="preserve"> –</w:t>
      </w:r>
      <w:proofErr w:type="gramEnd"/>
      <w:r w:rsidR="00BF3F1D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 xml:space="preserve">Emphasis by </w:t>
      </w:r>
      <w:r w:rsidR="00BF3F1D" w:rsidRPr="00657833">
        <w:rPr>
          <w:rFonts w:ascii="Arial" w:hAnsi="Arial" w:cs="Arial"/>
          <w:szCs w:val="24"/>
        </w:rPr>
        <w:t>underlining</w:t>
      </w:r>
      <w:r w:rsidR="00BF3F1D" w:rsidRPr="00657833">
        <w:rPr>
          <w:rFonts w:ascii="Arial" w:hAnsi="Arial" w:cs="Arial"/>
          <w:szCs w:val="24"/>
        </w:rPr>
        <w:t xml:space="preserve"> </w:t>
      </w:r>
      <w:r w:rsidR="00BF3F1D" w:rsidRPr="00657833">
        <w:rPr>
          <w:rFonts w:ascii="Arial" w:hAnsi="Arial" w:cs="Arial"/>
          <w:szCs w:val="24"/>
        </w:rPr>
        <w:t>supplied</w:t>
      </w:r>
    </w:p>
    <w:p w:rsidR="003B242B" w:rsidRPr="00657833" w:rsidRDefault="003B242B" w:rsidP="00657833">
      <w:pPr>
        <w:spacing w:before="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20" w:right="166"/>
        <w:jc w:val="both"/>
        <w:rPr>
          <w:rFonts w:ascii="Arial" w:hAnsi="Arial" w:cs="Arial"/>
          <w:sz w:val="22"/>
          <w:szCs w:val="24"/>
        </w:rPr>
        <w:sectPr w:rsidR="003B242B" w:rsidRPr="00657833">
          <w:pgSz w:w="12240" w:h="17020"/>
          <w:pgMar w:top="1100" w:right="1240" w:bottom="2940" w:left="1320" w:header="904" w:footer="2751" w:gutter="0"/>
          <w:cols w:space="720"/>
        </w:sectPr>
      </w:pP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clear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from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reading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39(2)(a)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Courts Act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subordinate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irrespective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grade,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determine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title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ownership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fortified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view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maxim </w:t>
      </w:r>
      <w:r w:rsidRPr="00657833">
        <w:rPr>
          <w:rFonts w:ascii="Arial" w:hAnsi="Arial" w:cs="Arial"/>
          <w:sz w:val="22"/>
          <w:szCs w:val="24"/>
        </w:rPr>
        <w:t>"</w:t>
      </w:r>
      <w:r w:rsidRPr="00657833">
        <w:rPr>
          <w:rFonts w:ascii="Arial" w:hAnsi="Arial" w:cs="Arial"/>
          <w:sz w:val="22"/>
          <w:szCs w:val="24"/>
        </w:rPr>
        <w:t>expression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un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>us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est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exclusion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alterious</w:t>
      </w:r>
      <w:proofErr w:type="spellEnd"/>
      <w:r w:rsidRPr="00657833">
        <w:rPr>
          <w:rFonts w:ascii="Arial" w:hAnsi="Arial" w:cs="Arial"/>
          <w:sz w:val="22"/>
          <w:szCs w:val="24"/>
        </w:rPr>
        <w:t>",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expression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 exclusion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another.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Under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maxim,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statute,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contract,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like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implies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exclusion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another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mentioned.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 maxim,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though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rule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construction.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According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Baron's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Dictionary,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9th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Edition,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maxim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when:</w:t>
      </w: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spacing w:before="72"/>
        <w:ind w:left="819" w:right="135" w:firstLine="43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natural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association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ideas,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expressed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set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over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contrast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 xml:space="preserve">to that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omitted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contrast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enforces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affirmative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inference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omitted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must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intended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opposite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contrary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treatment.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Thus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statute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granting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certain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rights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"</w:t>
      </w:r>
      <w:r w:rsidRPr="00657833">
        <w:rPr>
          <w:rFonts w:ascii="Arial" w:hAnsi="Arial" w:cs="Arial"/>
          <w:i/>
          <w:szCs w:val="24"/>
        </w:rPr>
        <w:t>police,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fire,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sanitation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employees"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would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interpreted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exclude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other public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officers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enumerated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statute.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based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presumed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legislative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intent.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free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draw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different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conclusion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some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reason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cannot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reasonably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inferred.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"</w:t>
      </w:r>
    </w:p>
    <w:p w:rsidR="003B242B" w:rsidRPr="00657833" w:rsidRDefault="003B242B" w:rsidP="00657833">
      <w:pPr>
        <w:spacing w:before="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16" w:right="140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maxim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been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repeatedly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applied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our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courts: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see,</w:t>
      </w:r>
      <w:r w:rsidR="00657833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for</w:t>
      </w:r>
      <w:r w:rsidR="00657833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example,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Registered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Trustees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Public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Affairs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Committee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v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Attorney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General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and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Speaker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National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Assembly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and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the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Malawi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Human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Rights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Commission,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HC/PR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Civil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Cause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1861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of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2003</w:t>
      </w:r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(unreported).</w:t>
      </w:r>
    </w:p>
    <w:p w:rsidR="003B242B" w:rsidRPr="00657833" w:rsidRDefault="003B242B" w:rsidP="00657833">
      <w:pPr>
        <w:spacing w:before="5"/>
        <w:rPr>
          <w:rFonts w:ascii="Arial" w:eastAsia="Times New Roman" w:hAnsi="Arial" w:cs="Arial"/>
          <w:b/>
          <w:bCs/>
          <w:szCs w:val="24"/>
        </w:rPr>
      </w:pPr>
    </w:p>
    <w:p w:rsidR="003B242B" w:rsidRPr="00657833" w:rsidRDefault="00BF3F1D" w:rsidP="00657833">
      <w:pPr>
        <w:pStyle w:val="BodyText"/>
        <w:ind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matter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under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consideration,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satisfied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maxim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</w:t>
      </w:r>
      <w:r w:rsidRPr="00657833">
        <w:rPr>
          <w:rFonts w:ascii="Arial" w:hAnsi="Arial" w:cs="Arial"/>
          <w:sz w:val="22"/>
          <w:szCs w:val="24"/>
        </w:rPr>
        <w:t>t</w:t>
      </w:r>
      <w:r w:rsidRPr="00657833">
        <w:rPr>
          <w:rFonts w:ascii="Arial" w:hAnsi="Arial" w:cs="Arial"/>
          <w:sz w:val="22"/>
          <w:szCs w:val="24"/>
        </w:rPr>
        <w:t>ion</w:t>
      </w:r>
      <w:r w:rsid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39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unable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find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reasons 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holding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otherwise.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Accordingly,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reject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have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matter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herein.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  <w:u w:val="single" w:color="000000"/>
        </w:rPr>
        <w:t>Law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of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Prescription</w:t>
      </w: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20" w:right="123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submitted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Appellant's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evidence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lawful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uninterrupted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occupation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twelve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years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before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Respondent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appeared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claim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unchallenged.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occupation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legitimized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Appellant's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exclusive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occupation,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possession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usage 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operation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called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135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Registered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(RLA)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example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provides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follows:</w:t>
      </w:r>
    </w:p>
    <w:p w:rsidR="003B242B" w:rsidRPr="00657833" w:rsidRDefault="003B242B" w:rsidP="00657833">
      <w:pPr>
        <w:spacing w:before="10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528" w:right="128" w:hanging="651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"(I)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 land,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receipt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rents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profits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thereof,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certain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still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receipt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shall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presumed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has,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from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date</w:t>
      </w:r>
      <w:r w:rsidRPr="00657833">
        <w:rPr>
          <w:rFonts w:ascii="Arial" w:hAnsi="Arial" w:cs="Arial"/>
          <w:i/>
          <w:szCs w:val="24"/>
        </w:rPr>
        <w:t>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uninterrupted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uninterrupted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receipt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rents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profits until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contrary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shown.</w:t>
      </w:r>
    </w:p>
    <w:p w:rsidR="003B242B" w:rsidRPr="00657833" w:rsidRDefault="003B242B" w:rsidP="00657833">
      <w:pPr>
        <w:spacing w:before="2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57"/>
        </w:tabs>
        <w:ind w:left="1556" w:right="126" w:hanging="70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(2)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receipt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rents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profits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thereof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through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whom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claimant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derives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shall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deemed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have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 xml:space="preserve">receipt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rents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profits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claimant.</w:t>
      </w:r>
    </w:p>
    <w:p w:rsidR="003B242B" w:rsidRPr="00657833" w:rsidRDefault="003B242B" w:rsidP="00657833">
      <w:pPr>
        <w:jc w:val="both"/>
        <w:rPr>
          <w:rFonts w:ascii="Arial" w:eastAsia="Times New Roman" w:hAnsi="Arial" w:cs="Arial"/>
          <w:szCs w:val="24"/>
        </w:rPr>
        <w:sectPr w:rsidR="003B242B" w:rsidRPr="00657833">
          <w:headerReference w:type="default" r:id="rId12"/>
          <w:footerReference w:type="default" r:id="rId13"/>
          <w:pgSz w:w="12240" w:h="17040"/>
          <w:pgMar w:top="1120" w:right="1280" w:bottom="2920" w:left="1320" w:header="920" w:footer="2732" w:gutter="0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53"/>
        </w:tabs>
        <w:spacing w:before="70"/>
        <w:ind w:left="1532" w:right="154" w:hanging="708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(3)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Wher</w:t>
      </w:r>
      <w:r w:rsidR="00BF3F1D" w:rsidRPr="00657833">
        <w:rPr>
          <w:rFonts w:ascii="Arial" w:hAnsi="Arial" w:cs="Arial"/>
          <w:i/>
          <w:szCs w:val="24"/>
        </w:rPr>
        <w:t>e</w:t>
      </w:r>
      <w:r w:rsidR="00BF3F1D" w:rsidRPr="00657833">
        <w:rPr>
          <w:rFonts w:ascii="Arial" w:hAnsi="Arial" w:cs="Arial"/>
          <w:i/>
          <w:szCs w:val="24"/>
        </w:rPr>
        <w:t>from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relationship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parties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from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special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cause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appears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was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behalf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shall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deemed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have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been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other.</w:t>
      </w: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33"/>
        </w:tabs>
        <w:spacing w:before="148"/>
        <w:ind w:left="1528" w:right="143" w:hanging="69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(4)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If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whose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subject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conditions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imposed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behalf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gramStart"/>
      <w:r w:rsidR="00BF3F1D" w:rsidRPr="00657833">
        <w:rPr>
          <w:rFonts w:ascii="Arial" w:hAnsi="Arial" w:cs="Arial"/>
          <w:i/>
          <w:szCs w:val="24"/>
        </w:rPr>
        <w:t>proprietor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,</w:t>
      </w:r>
      <w:proofErr w:type="gramEnd"/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continues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after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expiry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term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during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which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conditions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subsist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without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fulfillment 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compliance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with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without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exercise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proprietor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right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>,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subsequent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shall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deemed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peaceable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,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open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and uninterrupted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within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meaning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section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134</w:t>
      </w:r>
      <w:r w:rsidR="00BF3F1D" w:rsidRPr="00657833">
        <w:rPr>
          <w:rFonts w:ascii="Arial" w:hAnsi="Arial" w:cs="Arial"/>
          <w:i/>
          <w:szCs w:val="24"/>
        </w:rPr>
        <w:t>.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33"/>
        </w:tabs>
        <w:ind w:left="1532" w:hanging="70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(5)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shall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interrupted:-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1"/>
        </w:tabs>
        <w:ind w:left="2270" w:right="181" w:hanging="72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(a)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dispossession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claiming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opposition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possession;</w:t>
      </w:r>
    </w:p>
    <w:p w:rsidR="003B242B" w:rsidRPr="00657833" w:rsidRDefault="003B242B" w:rsidP="00657833">
      <w:pPr>
        <w:spacing w:before="2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6"/>
        </w:tabs>
        <w:ind w:left="2260" w:right="134" w:hanging="708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(b)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institution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legal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proceedings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proprietor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assert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his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right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thereto;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or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2261"/>
        </w:tabs>
        <w:ind w:left="2265" w:right="181" w:hanging="713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(c)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knowledge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made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claiming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proprietor</w:t>
      </w:r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thereof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that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claim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is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admitted.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i/>
          <w:szCs w:val="24"/>
        </w:rPr>
      </w:pPr>
    </w:p>
    <w:p w:rsidR="003B242B" w:rsidRPr="00657833" w:rsidRDefault="00657833" w:rsidP="00657833">
      <w:pPr>
        <w:tabs>
          <w:tab w:val="left" w:pos="1538"/>
        </w:tabs>
        <w:ind w:left="1547" w:right="160" w:hanging="709"/>
        <w:rPr>
          <w:rFonts w:ascii="Arial" w:eastAsia="Times New Roman" w:hAnsi="Arial" w:cs="Arial"/>
          <w:szCs w:val="24"/>
        </w:rPr>
      </w:pPr>
      <w:r w:rsidRPr="00657833">
        <w:rPr>
          <w:rFonts w:ascii="Arial" w:eastAsia="Times New Roman" w:hAnsi="Arial" w:cs="Arial"/>
          <w:i/>
          <w:szCs w:val="24"/>
        </w:rPr>
        <w:t>(6)</w:t>
      </w:r>
      <w:r w:rsidRPr="00657833">
        <w:rPr>
          <w:rFonts w:ascii="Arial" w:eastAsia="Times New Roman" w:hAnsi="Arial" w:cs="Arial"/>
          <w:i/>
          <w:szCs w:val="24"/>
        </w:rPr>
        <w:tab/>
      </w:r>
      <w:r w:rsidR="00BF3F1D" w:rsidRPr="00657833">
        <w:rPr>
          <w:rFonts w:ascii="Arial" w:hAnsi="Arial" w:cs="Arial"/>
          <w:i/>
          <w:szCs w:val="24"/>
        </w:rPr>
        <w:t>No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person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possessing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="00BF3F1D" w:rsidRPr="00657833">
        <w:rPr>
          <w:rFonts w:ascii="Arial" w:hAnsi="Arial" w:cs="Arial"/>
          <w:i/>
          <w:szCs w:val="24"/>
        </w:rPr>
        <w:t>infiduciary</w:t>
      </w:r>
      <w:proofErr w:type="spellEnd"/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capacity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on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behalf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another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may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acquire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="00BF3F1D" w:rsidRPr="00657833">
        <w:rPr>
          <w:rFonts w:ascii="Arial" w:hAnsi="Arial" w:cs="Arial"/>
          <w:i/>
          <w:szCs w:val="24"/>
        </w:rPr>
        <w:t>b</w:t>
      </w:r>
      <w:r w:rsidR="00BF3F1D" w:rsidRPr="00657833">
        <w:rPr>
          <w:rFonts w:ascii="Arial" w:hAnsi="Arial" w:cs="Arial"/>
          <w:i/>
          <w:szCs w:val="24"/>
        </w:rPr>
        <w:t>y</w:t>
      </w:r>
      <w:r w:rsidR="00BF3F1D" w:rsidRPr="00657833">
        <w:rPr>
          <w:rFonts w:ascii="Arial" w:hAnsi="Arial" w:cs="Arial"/>
          <w:i/>
          <w:szCs w:val="24"/>
        </w:rPr>
        <w:t>prescription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ownership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of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the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land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against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such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i/>
          <w:szCs w:val="24"/>
        </w:rPr>
        <w:t>other.</w:t>
      </w:r>
      <w:r w:rsidR="00BF3F1D" w:rsidRPr="00657833">
        <w:rPr>
          <w:rFonts w:ascii="Arial" w:hAnsi="Arial" w:cs="Arial"/>
          <w:i/>
          <w:szCs w:val="24"/>
        </w:rPr>
        <w:t xml:space="preserve"> </w:t>
      </w:r>
      <w:r w:rsidR="00BF3F1D" w:rsidRPr="00657833">
        <w:rPr>
          <w:rFonts w:ascii="Arial" w:hAnsi="Arial" w:cs="Arial"/>
          <w:szCs w:val="24"/>
        </w:rPr>
        <w:t>"</w:t>
      </w: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11" w:right="140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To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buttress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his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submission,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Counsel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Chagwamnjira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cited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decision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Supreme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Court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Appeal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in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Mbale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v.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Magongo</w:t>
      </w:r>
      <w:proofErr w:type="spellEnd"/>
      <w:r w:rsidRPr="00657833">
        <w:rPr>
          <w:rFonts w:ascii="Arial" w:hAnsi="Arial" w:cs="Arial"/>
          <w:szCs w:val="24"/>
        </w:rPr>
        <w:t>,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Miscella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neous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Civil</w:t>
      </w:r>
      <w:r w:rsidR="00657833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Appeal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Cause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No.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21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2013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[hereinafter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referred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to</w:t>
      </w:r>
      <w:r w:rsidR="00657833"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"</w:t>
      </w:r>
      <w:proofErr w:type="spellStart"/>
      <w:r w:rsidRPr="00657833">
        <w:rPr>
          <w:rFonts w:ascii="Arial" w:hAnsi="Arial" w:cs="Arial"/>
          <w:szCs w:val="24"/>
        </w:rPr>
        <w:t>Mbale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Case"]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where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question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whether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conversion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or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adverse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possession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land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without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proper title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had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been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satisfied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and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it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held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follows:</w:t>
      </w:r>
    </w:p>
    <w:p w:rsidR="003B242B" w:rsidRPr="00657833" w:rsidRDefault="00BF3F1D" w:rsidP="00657833">
      <w:pPr>
        <w:spacing w:before="205"/>
        <w:ind w:left="829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At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paragraph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90:</w:t>
      </w:r>
    </w:p>
    <w:p w:rsidR="003B242B" w:rsidRPr="00657833" w:rsidRDefault="00BF3F1D" w:rsidP="00657833">
      <w:pPr>
        <w:spacing w:before="199"/>
        <w:ind w:left="1523" w:right="130" w:firstLine="62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"...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Respondent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bring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done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encroached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him.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It's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clear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built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house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planting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crops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using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pasture.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simply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developments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activity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description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...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incumbent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upon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Respondent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demonstrate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occupation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indicate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actual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coupled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necessary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"animus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posssidendi</w:t>
      </w:r>
      <w:proofErr w:type="spellEnd"/>
      <w:r w:rsidRPr="00657833">
        <w:rPr>
          <w:rFonts w:ascii="Arial" w:hAnsi="Arial" w:cs="Arial"/>
          <w:i/>
          <w:szCs w:val="24"/>
        </w:rPr>
        <w:t>"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>Mr.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Chilenga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argued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Respondent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should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shown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taking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up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living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undertaking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some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activity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development.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agree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evidence"</w:t>
      </w:r>
    </w:p>
    <w:p w:rsidR="003B242B" w:rsidRPr="00657833" w:rsidRDefault="003B242B" w:rsidP="00657833">
      <w:pPr>
        <w:spacing w:before="8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834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And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 xml:space="preserve">at </w:t>
      </w:r>
      <w:r w:rsidRPr="00657833">
        <w:rPr>
          <w:rFonts w:ascii="Arial" w:hAnsi="Arial" w:cs="Arial"/>
          <w:szCs w:val="24"/>
        </w:rPr>
        <w:t>paragraph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114:</w:t>
      </w: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  <w:sectPr w:rsidR="003B242B" w:rsidRPr="00657833">
          <w:headerReference w:type="default" r:id="rId14"/>
          <w:footerReference w:type="default" r:id="rId15"/>
          <w:pgSz w:w="12240" w:h="17020"/>
          <w:pgMar w:top="1100" w:right="1280" w:bottom="2920" w:left="1320" w:header="900" w:footer="2732" w:gutter="0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spacing w:before="71"/>
        <w:ind w:left="1539" w:right="134" w:firstLine="66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"...to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establish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actual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squatter,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 xml:space="preserve">had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absence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proper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owners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consent.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also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single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continuous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exclusive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addition,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squatter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demonstrated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regard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circumstances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nature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 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 way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commonly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used,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occupying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owner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might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normally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expected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one else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done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so.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"</w:t>
      </w:r>
    </w:p>
    <w:p w:rsidR="003B242B" w:rsidRPr="00657833" w:rsidRDefault="00BF3F1D" w:rsidP="00657833">
      <w:pPr>
        <w:spacing w:before="204"/>
        <w:ind w:left="107" w:right="129" w:firstLine="38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Counsel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szCs w:val="24"/>
        </w:rPr>
        <w:t>Chagwamnjira</w:t>
      </w:r>
      <w:proofErr w:type="spellEnd"/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argued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that,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unlike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in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proofErr w:type="spellStart"/>
      <w:r w:rsidRPr="00657833">
        <w:rPr>
          <w:rFonts w:ascii="Arial" w:hAnsi="Arial" w:cs="Arial"/>
          <w:b/>
          <w:szCs w:val="24"/>
        </w:rPr>
        <w:t>Mbale</w:t>
      </w:r>
      <w:proofErr w:type="spellEnd"/>
      <w:r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Case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where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claim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conversion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was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dismissed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because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Applicant's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failure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to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show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"acts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occupation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indicate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actual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necessary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animus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possidendi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",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Appellant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has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advanced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undisputed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evidence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his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family's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uninterrupted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thirty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years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occupation,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possession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and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use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of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the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said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lands.</w:t>
      </w:r>
    </w:p>
    <w:p w:rsidR="003B242B" w:rsidRPr="00657833" w:rsidRDefault="00BF3F1D" w:rsidP="00657833">
      <w:pPr>
        <w:pStyle w:val="BodyText"/>
        <w:spacing w:before="194"/>
        <w:ind w:left="145" w:right="142" w:hanging="5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submissions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issue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pertaining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also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concise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brief.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begun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contending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b/>
          <w:sz w:val="22"/>
          <w:szCs w:val="24"/>
        </w:rPr>
        <w:t>Mbale</w:t>
      </w:r>
      <w:proofErr w:type="spellEnd"/>
      <w:r w:rsidR="00657833" w:rsidRPr="00657833">
        <w:rPr>
          <w:rFonts w:ascii="Arial" w:hAnsi="Arial" w:cs="Arial"/>
          <w:b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thus:</w:t>
      </w:r>
    </w:p>
    <w:p w:rsidR="003B242B" w:rsidRPr="00657833" w:rsidRDefault="00BF3F1D" w:rsidP="00657833">
      <w:pPr>
        <w:tabs>
          <w:tab w:val="left" w:pos="1210"/>
        </w:tabs>
        <w:spacing w:before="192"/>
        <w:ind w:left="1214" w:right="288" w:hanging="316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szCs w:val="24"/>
        </w:rPr>
        <w:t>"</w:t>
      </w:r>
      <w:r w:rsidRPr="00657833">
        <w:rPr>
          <w:rFonts w:ascii="Arial" w:hAnsi="Arial" w:cs="Arial"/>
          <w:szCs w:val="24"/>
        </w:rPr>
        <w:tab/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 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observed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said case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(the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Mbale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Case)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looked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conversion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adverse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applies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without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pro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per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title</w:t>
      </w:r>
      <w:r w:rsidRPr="00657833">
        <w:rPr>
          <w:rFonts w:ascii="Arial" w:hAnsi="Arial" w:cs="Arial"/>
          <w:i/>
          <w:szCs w:val="24"/>
        </w:rPr>
        <w:t>.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214" w:right="288" w:hanging="5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My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Lord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observed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herein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its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title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under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custom.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It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is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land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without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pro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per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title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as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the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A</w:t>
      </w:r>
      <w:r w:rsidRPr="00657833">
        <w:rPr>
          <w:rFonts w:ascii="Arial" w:hAnsi="Arial" w:cs="Arial"/>
          <w:i/>
          <w:szCs w:val="24"/>
          <w:u w:val="single" w:color="000000"/>
        </w:rPr>
        <w:t>ppellants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a</w:t>
      </w:r>
      <w:r w:rsidRPr="00657833">
        <w:rPr>
          <w:rFonts w:ascii="Arial" w:hAnsi="Arial" w:cs="Arial"/>
          <w:i/>
          <w:szCs w:val="24"/>
        </w:rPr>
        <w:t>rgue.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Title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 xml:space="preserve">herein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under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custom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therefore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  <w:u w:val="thick" w:color="000000"/>
        </w:rPr>
        <w:t>Mbale</w:t>
      </w:r>
      <w:proofErr w:type="spellEnd"/>
      <w:r w:rsidRPr="00657833">
        <w:rPr>
          <w:rFonts w:ascii="Arial" w:hAnsi="Arial" w:cs="Arial"/>
          <w:i/>
          <w:szCs w:val="24"/>
          <w:u w:val="thick" w:color="000000"/>
        </w:rPr>
        <w:t xml:space="preserve"> </w:t>
      </w:r>
      <w:r w:rsidRPr="00657833">
        <w:rPr>
          <w:rFonts w:ascii="Arial" w:hAnsi="Arial" w:cs="Arial"/>
          <w:i/>
          <w:szCs w:val="24"/>
          <w:u w:val="thick" w:color="000000"/>
        </w:rPr>
        <w:t>-vs-</w:t>
      </w:r>
      <w:proofErr w:type="spellStart"/>
      <w:r w:rsidRPr="00657833">
        <w:rPr>
          <w:rFonts w:ascii="Arial" w:hAnsi="Arial" w:cs="Arial"/>
          <w:i/>
          <w:szCs w:val="24"/>
          <w:u w:val="thick" w:color="000000"/>
        </w:rPr>
        <w:t>Magombo</w:t>
      </w:r>
      <w:proofErr w:type="spellEnd"/>
      <w:r w:rsidRPr="00657833">
        <w:rPr>
          <w:rFonts w:ascii="Arial" w:hAnsi="Arial" w:cs="Arial"/>
          <w:i/>
          <w:szCs w:val="24"/>
          <w:u w:val="thick" w:color="000000"/>
        </w:rPr>
        <w:t xml:space="preserve"> </w:t>
      </w:r>
      <w:r w:rsidRPr="00657833">
        <w:rPr>
          <w:rFonts w:ascii="Arial" w:hAnsi="Arial" w:cs="Arial"/>
          <w:i/>
          <w:szCs w:val="24"/>
        </w:rPr>
        <w:t>case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deals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with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land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with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no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pro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per</w:t>
      </w:r>
      <w:r w:rsidR="00657833"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</w:t>
      </w:r>
      <w:r w:rsidRPr="00657833">
        <w:rPr>
          <w:rFonts w:ascii="Arial" w:hAnsi="Arial" w:cs="Arial"/>
          <w:i/>
          <w:szCs w:val="24"/>
        </w:rPr>
        <w:t>itle"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-</w:t>
      </w:r>
      <w:r w:rsidRPr="00657833">
        <w:rPr>
          <w:rFonts w:ascii="Arial" w:hAnsi="Arial" w:cs="Arial"/>
          <w:szCs w:val="24"/>
        </w:rPr>
        <w:t>Emphasis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underlining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supplied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Counsel</w:t>
      </w:r>
    </w:p>
    <w:p w:rsidR="003B242B" w:rsidRPr="00657833" w:rsidRDefault="00BF3F1D" w:rsidP="00657833">
      <w:pPr>
        <w:pStyle w:val="BodyText"/>
        <w:spacing w:before="202"/>
        <w:ind w:left="145" w:right="131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concluded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submissions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issue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inviting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several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requirements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must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satisfied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adverse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possession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essential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requirement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case: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286" w:right="181" w:firstLine="33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One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requirements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said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must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adverse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interests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(possession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owner)</w:t>
      </w:r>
    </w:p>
    <w:p w:rsidR="003B242B" w:rsidRPr="00657833" w:rsidRDefault="00BF3F1D" w:rsidP="00657833">
      <w:pPr>
        <w:spacing w:before="156"/>
        <w:ind w:left="1219" w:right="123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observed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late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Malizani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Mmwala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actually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sought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consent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from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clan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</w:t>
      </w:r>
      <w:r w:rsidRPr="00657833">
        <w:rPr>
          <w:rFonts w:ascii="Arial" w:hAnsi="Arial" w:cs="Arial"/>
          <w:i/>
          <w:szCs w:val="24"/>
        </w:rPr>
        <w:t>e</w:t>
      </w:r>
      <w:r w:rsid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farming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disputed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circumstances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therefore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 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dispute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advers</w:t>
      </w:r>
      <w:r w:rsidRPr="00657833">
        <w:rPr>
          <w:rFonts w:ascii="Arial" w:hAnsi="Arial" w:cs="Arial"/>
          <w:i/>
          <w:szCs w:val="24"/>
        </w:rPr>
        <w:t>e</w:t>
      </w:r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given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consent.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"</w:t>
      </w:r>
    </w:p>
    <w:p w:rsidR="003B242B" w:rsidRPr="00657833" w:rsidRDefault="00BF3F1D" w:rsidP="00657833">
      <w:pPr>
        <w:pStyle w:val="BodyText"/>
        <w:spacing w:before="156"/>
        <w:ind w:left="150" w:right="121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considered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submissions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parties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issue.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Appellant's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acquired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lacks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merit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dismissed.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seeks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135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RLA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said 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reason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134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RLA.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Section 134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RLA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deals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acquisition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relevant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part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thereof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provides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follows:</w:t>
      </w:r>
    </w:p>
    <w:p w:rsidR="003B242B" w:rsidRPr="00657833" w:rsidRDefault="003B242B" w:rsidP="00657833">
      <w:pPr>
        <w:jc w:val="both"/>
        <w:rPr>
          <w:rFonts w:ascii="Arial" w:hAnsi="Arial" w:cs="Arial"/>
          <w:szCs w:val="24"/>
        </w:rPr>
        <w:sectPr w:rsidR="003B242B" w:rsidRPr="00657833">
          <w:headerReference w:type="default" r:id="rId16"/>
          <w:footerReference w:type="default" r:id="rId17"/>
          <w:pgSz w:w="12240" w:h="16980"/>
          <w:pgMar w:top="1120" w:right="1280" w:bottom="2920" w:left="1320" w:header="870" w:footer="2727" w:gutter="0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spacing w:before="70"/>
        <w:ind w:left="803" w:right="141" w:firstLine="66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"(</w:t>
      </w:r>
      <w:proofErr w:type="gramStart"/>
      <w:r w:rsidRPr="00657833">
        <w:rPr>
          <w:rFonts w:ascii="Arial" w:hAnsi="Arial" w:cs="Arial"/>
          <w:i/>
          <w:szCs w:val="24"/>
        </w:rPr>
        <w:t>l</w:t>
      </w:r>
      <w:proofErr w:type="gramEnd"/>
      <w:r w:rsidRPr="00657833">
        <w:rPr>
          <w:rFonts w:ascii="Arial" w:hAnsi="Arial" w:cs="Arial"/>
          <w:i/>
          <w:szCs w:val="24"/>
        </w:rPr>
        <w:t>)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ownership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acquired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peaceable,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open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uninterrupted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without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permission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lawfully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 xml:space="preserve">entitled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possession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period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twelve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years: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836" w:right="775" w:firstLine="706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  <w:u w:val="single" w:color="000000"/>
        </w:rPr>
        <w:t>Provided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that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no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person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shall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acquire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the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ownershi</w:t>
      </w:r>
      <w:r w:rsidRPr="00657833">
        <w:rPr>
          <w:rFonts w:ascii="Arial" w:hAnsi="Arial" w:cs="Arial"/>
          <w:i/>
          <w:szCs w:val="24"/>
          <w:u w:val="single" w:color="000000"/>
        </w:rPr>
        <w:t>p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of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customar</w:t>
      </w:r>
      <w:r w:rsidRPr="00657833">
        <w:rPr>
          <w:rFonts w:ascii="Arial" w:hAnsi="Arial" w:cs="Arial"/>
          <w:i/>
          <w:szCs w:val="24"/>
          <w:u w:val="single" w:color="000000"/>
        </w:rPr>
        <w:t>y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or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public</w:t>
      </w:r>
      <w:r w:rsidRPr="00657833">
        <w:rPr>
          <w:rFonts w:ascii="Arial" w:hAnsi="Arial" w:cs="Arial"/>
          <w:i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i/>
          <w:szCs w:val="24"/>
          <w:u w:val="single" w:color="000000"/>
        </w:rPr>
        <w:t>l</w:t>
      </w:r>
      <w:r w:rsidRPr="00657833">
        <w:rPr>
          <w:rFonts w:ascii="Arial" w:hAnsi="Arial" w:cs="Arial"/>
          <w:i/>
          <w:szCs w:val="24"/>
        </w:rPr>
        <w:t>and."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-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Emphasis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by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underlining</w:t>
      </w:r>
      <w:r w:rsidRPr="00657833">
        <w:rPr>
          <w:rFonts w:ascii="Arial" w:hAnsi="Arial" w:cs="Arial"/>
          <w:szCs w:val="24"/>
        </w:rPr>
        <w:t xml:space="preserve"> </w:t>
      </w:r>
      <w:r w:rsidRPr="00657833">
        <w:rPr>
          <w:rFonts w:ascii="Arial" w:hAnsi="Arial" w:cs="Arial"/>
          <w:szCs w:val="24"/>
        </w:rPr>
        <w:t>supplied</w:t>
      </w:r>
    </w:p>
    <w:p w:rsidR="003B242B" w:rsidRPr="00657833" w:rsidRDefault="00BF3F1D" w:rsidP="00657833">
      <w:pPr>
        <w:pStyle w:val="BodyText"/>
        <w:spacing w:before="200"/>
        <w:ind w:left="120" w:right="268" w:hanging="5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provisio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134(1)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RLA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clear: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person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cannot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own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prescription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otherwise.</w:t>
      </w:r>
    </w:p>
    <w:p w:rsidR="003B242B" w:rsidRPr="00657833" w:rsidRDefault="00BF3F1D" w:rsidP="00657833">
      <w:pPr>
        <w:pStyle w:val="BodyText"/>
        <w:spacing w:before="196"/>
        <w:ind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  <w:u w:val="single" w:color="000000"/>
        </w:rPr>
        <w:t>Application</w:t>
      </w:r>
      <w:r w:rsidR="00657833"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of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testacy</w:t>
      </w:r>
      <w:r w:rsidR="00657833"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or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intestacy</w:t>
      </w:r>
      <w:r w:rsidR="00657833"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laws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to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the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land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in</w:t>
      </w:r>
      <w:r w:rsidRPr="00657833">
        <w:rPr>
          <w:rFonts w:ascii="Arial" w:hAnsi="Arial" w:cs="Arial"/>
          <w:sz w:val="22"/>
          <w:szCs w:val="24"/>
          <w:u w:val="single" w:color="000000"/>
        </w:rPr>
        <w:t xml:space="preserve"> </w:t>
      </w:r>
      <w:r w:rsidRPr="00657833">
        <w:rPr>
          <w:rFonts w:ascii="Arial" w:hAnsi="Arial" w:cs="Arial"/>
          <w:sz w:val="22"/>
          <w:szCs w:val="24"/>
          <w:u w:val="single" w:color="000000"/>
        </w:rPr>
        <w:t>question</w:t>
      </w:r>
    </w:p>
    <w:p w:rsidR="003B242B" w:rsidRPr="00657833" w:rsidRDefault="00BF3F1D" w:rsidP="00657833">
      <w:pPr>
        <w:pStyle w:val="BodyText"/>
        <w:spacing w:before="206"/>
        <w:ind w:left="120" w:right="128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submitted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before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death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Malizeni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left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stated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included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four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gardens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seven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dambos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belonged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four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children,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including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thus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the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should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given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effect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testator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without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being bound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legal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requirement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documents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must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tendered.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placed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reliance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11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Deceased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Estates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(Wills,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Inheritance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Protection)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[hereinafter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referred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"DEWIPA"].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25" w:right="132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due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loss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how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Appellant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expected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lower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give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effect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document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verified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true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valid.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trite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usual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the </w:t>
      </w:r>
      <w:r w:rsidRPr="00657833">
        <w:rPr>
          <w:rFonts w:ascii="Arial" w:hAnsi="Arial" w:cs="Arial"/>
          <w:sz w:val="22"/>
          <w:szCs w:val="24"/>
        </w:rPr>
        <w:t>production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probate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contain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copy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which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appointed,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bearing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usually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called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probate</w:t>
      </w: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30" w:right="121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case,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perhaps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more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importantly,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</w:t>
      </w:r>
      <w:r w:rsidRPr="00657833">
        <w:rPr>
          <w:rFonts w:ascii="Arial" w:hAnsi="Arial" w:cs="Arial"/>
          <w:sz w:val="22"/>
          <w:szCs w:val="24"/>
        </w:rPr>
        <w:t>1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DEWIPA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does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extend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Third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Grade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Magistrate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terms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2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the </w:t>
      </w:r>
      <w:r w:rsidRPr="00657833">
        <w:rPr>
          <w:rFonts w:ascii="Arial" w:hAnsi="Arial" w:cs="Arial"/>
          <w:sz w:val="22"/>
          <w:szCs w:val="24"/>
        </w:rPr>
        <w:t>DEWIP</w:t>
      </w:r>
      <w:r w:rsidRPr="00657833">
        <w:rPr>
          <w:rFonts w:ascii="Arial" w:hAnsi="Arial" w:cs="Arial"/>
          <w:sz w:val="22"/>
          <w:szCs w:val="24"/>
        </w:rPr>
        <w:t>A,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"court"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means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High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specified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under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20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</w:t>
      </w:r>
      <w:r w:rsidRPr="00657833">
        <w:rPr>
          <w:rFonts w:ascii="Arial" w:hAnsi="Arial" w:cs="Arial"/>
          <w:sz w:val="22"/>
          <w:szCs w:val="24"/>
        </w:rPr>
        <w:t>P</w:t>
      </w:r>
      <w:r w:rsidRPr="00657833">
        <w:rPr>
          <w:rFonts w:ascii="Arial" w:hAnsi="Arial" w:cs="Arial"/>
          <w:sz w:val="22"/>
          <w:szCs w:val="24"/>
        </w:rPr>
        <w:t>A,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vests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High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jurisdiction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matters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relating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probate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administration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estates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deceased persons.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small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estates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resident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magistrate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magistrate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first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grade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grant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probate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letters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administration.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35" w:right="119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advanced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alternative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argument.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declared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M'mwala's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dambos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and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same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ought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declared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necessarily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land.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cited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ss.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3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16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DEWIPA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buttress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contention.</w:t>
      </w:r>
    </w:p>
    <w:p w:rsidR="003B242B" w:rsidRPr="00657833" w:rsidRDefault="003B242B" w:rsidP="00657833">
      <w:pPr>
        <w:jc w:val="both"/>
        <w:rPr>
          <w:rFonts w:ascii="Arial" w:hAnsi="Arial" w:cs="Arial"/>
          <w:szCs w:val="24"/>
        </w:rPr>
        <w:sectPr w:rsidR="003B242B" w:rsidRPr="00657833">
          <w:headerReference w:type="default" r:id="rId18"/>
          <w:footerReference w:type="default" r:id="rId19"/>
          <w:pgSz w:w="12240" w:h="17000"/>
          <w:pgMar w:top="1140" w:right="1280" w:bottom="2900" w:left="1340" w:header="918" w:footer="2718" w:gutter="0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spacing w:before="65"/>
        <w:ind w:left="111" w:right="157" w:firstLine="14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3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DEWIP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defines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property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property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respect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intestacy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under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16,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which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provides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follows:</w:t>
      </w: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20" w:right="140" w:firstLine="749"/>
        <w:jc w:val="right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</w:t>
      </w:r>
      <w:r w:rsidRPr="00657833">
        <w:rPr>
          <w:rFonts w:ascii="Arial" w:hAnsi="Arial" w:cs="Arial"/>
          <w:i/>
          <w:szCs w:val="24"/>
        </w:rPr>
        <w:t>If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person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without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left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valid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under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section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6,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shall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intestacy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 respect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property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entitled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her</w:t>
      </w:r>
      <w:r w:rsidRPr="00657833">
        <w:rPr>
          <w:rFonts w:ascii="Arial" w:hAnsi="Arial" w:cs="Arial"/>
          <w:i/>
          <w:szCs w:val="24"/>
        </w:rPr>
        <w:t xml:space="preserve"> </w:t>
      </w:r>
      <w:r w:rsidR="00657833">
        <w:rPr>
          <w:rFonts w:ascii="Arial" w:hAnsi="Arial" w:cs="Arial"/>
          <w:i/>
          <w:szCs w:val="24"/>
        </w:rPr>
        <w:t>death.</w:t>
      </w:r>
      <w:r w:rsidRPr="00657833">
        <w:rPr>
          <w:rFonts w:ascii="Arial" w:hAnsi="Arial" w:cs="Arial"/>
          <w:szCs w:val="24"/>
        </w:rPr>
        <w:t>"</w:t>
      </w:r>
    </w:p>
    <w:p w:rsidR="003B242B" w:rsidRPr="00657833" w:rsidRDefault="003B242B" w:rsidP="00657833">
      <w:pPr>
        <w:spacing w:before="10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right="136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Chagwamnjira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further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s.</w:t>
      </w:r>
      <w:r w:rsidR="00657833"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4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</w:t>
      </w:r>
      <w:r w:rsidRPr="00657833">
        <w:rPr>
          <w:rFonts w:ascii="Arial" w:hAnsi="Arial" w:cs="Arial"/>
          <w:sz w:val="22"/>
          <w:szCs w:val="24"/>
        </w:rPr>
        <w:t>P</w:t>
      </w:r>
      <w:r w:rsidRPr="00657833">
        <w:rPr>
          <w:rFonts w:ascii="Arial" w:hAnsi="Arial" w:cs="Arial"/>
          <w:sz w:val="22"/>
          <w:szCs w:val="24"/>
        </w:rPr>
        <w:t>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prohibits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application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customary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property.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Section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4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DEWIPA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terms:</w:t>
      </w:r>
    </w:p>
    <w:p w:rsidR="003B242B" w:rsidRPr="00657833" w:rsidRDefault="003B242B" w:rsidP="00657833">
      <w:pPr>
        <w:spacing w:before="3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832" w:right="141" w:firstLine="42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"Except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provided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Act,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 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shall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entitled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under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written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under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customary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take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inheritance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property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deceased person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entitled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death</w:t>
      </w:r>
      <w:proofErr w:type="gramStart"/>
      <w:r w:rsidRPr="00657833">
        <w:rPr>
          <w:rFonts w:ascii="Arial" w:hAnsi="Arial" w:cs="Arial"/>
          <w:i/>
          <w:szCs w:val="24"/>
        </w:rPr>
        <w:t>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"</w:t>
      </w:r>
      <w:proofErr w:type="gramEnd"/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pStyle w:val="BodyText"/>
        <w:ind w:right="13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response,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submitted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unchallenged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evidence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belong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Malizani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thus,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argued,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could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dispose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same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otherwise.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argument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couched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following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terms:</w:t>
      </w:r>
    </w:p>
    <w:p w:rsidR="003B242B" w:rsidRPr="00657833" w:rsidRDefault="003B242B" w:rsidP="00657833">
      <w:pPr>
        <w:spacing w:before="1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ind w:left="1252" w:right="119" w:firstLine="33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My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Lord,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observed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from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Lower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>'s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record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 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uncontroverted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question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belong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late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Malizani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Mmwala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alive.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194" w:right="142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evidence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tribal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late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Malizani</w:t>
      </w:r>
      <w:proofErr w:type="spellEnd"/>
      <w:r w:rsidR="00657833"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Mmwala</w:t>
      </w:r>
      <w:proofErr w:type="spellEnd"/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having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married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another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village</w:t>
      </w:r>
      <w:r w:rsidRPr="00657833">
        <w:rPr>
          <w:rFonts w:ascii="Arial" w:hAnsi="Arial" w:cs="Arial"/>
          <w:i/>
          <w:szCs w:val="24"/>
        </w:rPr>
        <w:t>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seek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consent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use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clearly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shows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194" w:right="138" w:firstLine="19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We therefore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submit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belong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Malizani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Mmwala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whilst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alive,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cannot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part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estate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dead</w:t>
      </w:r>
    </w:p>
    <w:p w:rsidR="003B242B" w:rsidRPr="00657833" w:rsidRDefault="003B242B" w:rsidP="00657833">
      <w:pPr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199" w:right="133" w:firstLine="19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We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therefore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submit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law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intestacy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apply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herein.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belong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Malizani</w:t>
      </w:r>
      <w:proofErr w:type="spellEnd"/>
      <w:r w:rsidRPr="00657833">
        <w:rPr>
          <w:rFonts w:ascii="Arial" w:hAnsi="Arial" w:cs="Arial"/>
          <w:i/>
          <w:szCs w:val="24"/>
        </w:rPr>
        <w:t xml:space="preserve"> </w:t>
      </w:r>
      <w:proofErr w:type="spellStart"/>
      <w:r w:rsidRPr="00657833">
        <w:rPr>
          <w:rFonts w:ascii="Arial" w:hAnsi="Arial" w:cs="Arial"/>
          <w:i/>
          <w:szCs w:val="24"/>
        </w:rPr>
        <w:t>Mmwala</w:t>
      </w:r>
      <w:proofErr w:type="spellEnd"/>
      <w:r w:rsidRPr="00657833">
        <w:rPr>
          <w:rFonts w:ascii="Arial" w:hAnsi="Arial" w:cs="Arial"/>
          <w:i/>
          <w:szCs w:val="24"/>
        </w:rPr>
        <w:t>.</w:t>
      </w:r>
    </w:p>
    <w:p w:rsidR="003B242B" w:rsidRPr="00657833" w:rsidRDefault="003B242B" w:rsidP="00657833">
      <w:pPr>
        <w:spacing w:before="9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199" w:right="147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further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observed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Appellants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argue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lower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should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called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="00657833"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brought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once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 Appellant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mentioned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</w:p>
    <w:p w:rsidR="003B242B" w:rsidRPr="00657833" w:rsidRDefault="003B242B" w:rsidP="00657833">
      <w:pPr>
        <w:spacing w:before="11"/>
        <w:rPr>
          <w:rFonts w:ascii="Arial" w:eastAsia="Times New Roman" w:hAnsi="Arial" w:cs="Arial"/>
          <w:i/>
          <w:szCs w:val="24"/>
        </w:rPr>
      </w:pPr>
    </w:p>
    <w:p w:rsidR="003B242B" w:rsidRPr="00657833" w:rsidRDefault="00BF3F1D" w:rsidP="00657833">
      <w:pPr>
        <w:ind w:left="1199" w:right="126" w:hanging="5"/>
        <w:jc w:val="both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i/>
          <w:szCs w:val="24"/>
        </w:rPr>
        <w:t>My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Lord,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submit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even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if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Lower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Court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called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for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Will,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it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would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have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applied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as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land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did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belong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deceased.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One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cannot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bequeath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that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which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does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not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belong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>to</w:t>
      </w:r>
      <w:r w:rsidRPr="00657833">
        <w:rPr>
          <w:rFonts w:ascii="Arial" w:hAnsi="Arial" w:cs="Arial"/>
          <w:i/>
          <w:szCs w:val="24"/>
        </w:rPr>
        <w:t xml:space="preserve"> </w:t>
      </w:r>
      <w:r w:rsidRPr="00657833">
        <w:rPr>
          <w:rFonts w:ascii="Arial" w:hAnsi="Arial" w:cs="Arial"/>
          <w:i/>
          <w:szCs w:val="24"/>
        </w:rPr>
        <w:t xml:space="preserve">him. </w:t>
      </w:r>
      <w:r w:rsidRPr="00657833">
        <w:rPr>
          <w:rFonts w:ascii="Arial" w:hAnsi="Arial" w:cs="Arial"/>
          <w:szCs w:val="24"/>
        </w:rPr>
        <w:t>"</w:t>
      </w:r>
    </w:p>
    <w:p w:rsidR="003B242B" w:rsidRPr="00657833" w:rsidRDefault="003B242B" w:rsidP="00657833">
      <w:pPr>
        <w:spacing w:before="8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35" w:right="130" w:hanging="1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Here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again,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cannot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agree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more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Counsel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Mwala</w:t>
      </w:r>
      <w:proofErr w:type="spellEnd"/>
      <w:r w:rsidRPr="00657833">
        <w:rPr>
          <w:rFonts w:ascii="Arial" w:hAnsi="Arial" w:cs="Arial"/>
          <w:sz w:val="22"/>
          <w:szCs w:val="24"/>
        </w:rPr>
        <w:t>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dispute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Malizani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seek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consent</w:t>
      </w:r>
    </w:p>
    <w:p w:rsidR="003B242B" w:rsidRPr="00657833" w:rsidRDefault="003B242B" w:rsidP="00657833">
      <w:pPr>
        <w:jc w:val="both"/>
        <w:rPr>
          <w:rFonts w:ascii="Arial" w:hAnsi="Arial" w:cs="Arial"/>
          <w:szCs w:val="24"/>
        </w:rPr>
        <w:sectPr w:rsidR="003B242B" w:rsidRPr="00657833">
          <w:headerReference w:type="default" r:id="rId20"/>
          <w:footerReference w:type="default" r:id="rId21"/>
          <w:pgSz w:w="12240" w:h="16980"/>
          <w:pgMar w:top="1120" w:right="1280" w:bottom="2900" w:left="1340" w:header="898" w:footer="2703" w:gutter="0"/>
          <w:pgNumType w:start="8"/>
          <w:cols w:space="720"/>
        </w:sectPr>
      </w:pPr>
    </w:p>
    <w:p w:rsidR="003B242B" w:rsidRPr="00657833" w:rsidRDefault="003B242B" w:rsidP="00657833">
      <w:pPr>
        <w:rPr>
          <w:rFonts w:ascii="Arial" w:eastAsia="Times New Roman" w:hAnsi="Arial" w:cs="Arial"/>
          <w:szCs w:val="24"/>
        </w:rPr>
      </w:pPr>
    </w:p>
    <w:p w:rsidR="003B242B" w:rsidRPr="00657833" w:rsidRDefault="003B242B" w:rsidP="00657833">
      <w:pPr>
        <w:spacing w:before="7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spacing w:before="65"/>
        <w:ind w:right="157"/>
        <w:jc w:val="both"/>
        <w:rPr>
          <w:rFonts w:ascii="Arial" w:hAnsi="Arial" w:cs="Arial"/>
          <w:sz w:val="22"/>
          <w:szCs w:val="24"/>
        </w:rPr>
      </w:pPr>
      <w:proofErr w:type="gramStart"/>
      <w:r w:rsidRPr="00657833">
        <w:rPr>
          <w:rFonts w:ascii="Arial" w:hAnsi="Arial" w:cs="Arial"/>
          <w:sz w:val="22"/>
          <w:szCs w:val="24"/>
        </w:rPr>
        <w:t>from</w:t>
      </w:r>
      <w:proofErr w:type="gram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clan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allow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him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use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evidence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Loyce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Lipaya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Oscar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Chapita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Justen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Gomani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very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clear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point.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Having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established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 xml:space="preserve">the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belong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Malizani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>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Malizani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could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bequeath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same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to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Plaintiff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other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person.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 same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vein,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question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could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not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form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part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 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intestate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estate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late</w:t>
      </w:r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Malizani</w:t>
      </w:r>
      <w:proofErr w:type="spellEnd"/>
      <w:r w:rsidRPr="0065783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57833">
        <w:rPr>
          <w:rFonts w:ascii="Arial" w:hAnsi="Arial" w:cs="Arial"/>
          <w:sz w:val="22"/>
          <w:szCs w:val="24"/>
        </w:rPr>
        <w:t>Mmwala</w:t>
      </w:r>
      <w:proofErr w:type="spellEnd"/>
      <w:r w:rsidRPr="00657833">
        <w:rPr>
          <w:rFonts w:ascii="Arial" w:hAnsi="Arial" w:cs="Arial"/>
          <w:sz w:val="22"/>
          <w:szCs w:val="24"/>
        </w:rPr>
        <w:t>.</w:t>
      </w:r>
    </w:p>
    <w:p w:rsidR="003B242B" w:rsidRPr="00657833" w:rsidRDefault="003B242B" w:rsidP="00657833">
      <w:pPr>
        <w:spacing w:before="2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26" w:firstLine="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Conclusion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31" w:right="147" w:hanging="5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final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result,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premised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all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facts,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evidence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principles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law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considered,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appeal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has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failed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and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is,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accordingly,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dismissed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with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costs.</w:t>
      </w:r>
    </w:p>
    <w:p w:rsidR="003B242B" w:rsidRPr="00657833" w:rsidRDefault="003B242B" w:rsidP="00657833">
      <w:pPr>
        <w:spacing w:before="6"/>
        <w:rPr>
          <w:rFonts w:ascii="Arial" w:eastAsia="Times New Roman" w:hAnsi="Arial" w:cs="Arial"/>
          <w:szCs w:val="24"/>
        </w:rPr>
      </w:pPr>
    </w:p>
    <w:p w:rsidR="003B242B" w:rsidRPr="00657833" w:rsidRDefault="00BF3F1D" w:rsidP="00657833">
      <w:pPr>
        <w:pStyle w:val="BodyText"/>
        <w:ind w:left="121" w:right="140"/>
        <w:jc w:val="both"/>
        <w:rPr>
          <w:rFonts w:ascii="Arial" w:hAnsi="Arial" w:cs="Arial"/>
          <w:sz w:val="22"/>
          <w:szCs w:val="24"/>
        </w:rPr>
      </w:pPr>
      <w:r w:rsidRPr="00657833">
        <w:rPr>
          <w:rFonts w:ascii="Arial" w:hAnsi="Arial" w:cs="Arial"/>
          <w:sz w:val="22"/>
          <w:szCs w:val="24"/>
        </w:rPr>
        <w:t>Pronounced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Court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this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10th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day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January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2017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at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Blantyre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in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the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Republic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of</w:t>
      </w:r>
      <w:r w:rsidRPr="00657833">
        <w:rPr>
          <w:rFonts w:ascii="Arial" w:hAnsi="Arial" w:cs="Arial"/>
          <w:sz w:val="22"/>
          <w:szCs w:val="24"/>
        </w:rPr>
        <w:t xml:space="preserve"> </w:t>
      </w:r>
      <w:r w:rsidRPr="00657833">
        <w:rPr>
          <w:rFonts w:ascii="Arial" w:hAnsi="Arial" w:cs="Arial"/>
          <w:sz w:val="22"/>
          <w:szCs w:val="24"/>
        </w:rPr>
        <w:t>Malawi.</w:t>
      </w:r>
    </w:p>
    <w:p w:rsidR="003B242B" w:rsidRPr="00657833" w:rsidRDefault="003B242B" w:rsidP="00657833">
      <w:pPr>
        <w:spacing w:before="4"/>
        <w:rPr>
          <w:rFonts w:ascii="Arial" w:eastAsia="Times New Roman" w:hAnsi="Arial" w:cs="Arial"/>
          <w:szCs w:val="24"/>
        </w:rPr>
      </w:pPr>
    </w:p>
    <w:p w:rsidR="00657833" w:rsidRDefault="00657833" w:rsidP="00657833">
      <w:pPr>
        <w:ind w:left="3659" w:right="371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</w:t>
      </w:r>
    </w:p>
    <w:p w:rsidR="00657833" w:rsidRDefault="00BF3F1D" w:rsidP="00657833">
      <w:pPr>
        <w:ind w:left="3659" w:right="3712"/>
        <w:jc w:val="center"/>
        <w:rPr>
          <w:rFonts w:ascii="Arial" w:hAnsi="Arial" w:cs="Arial"/>
          <w:b/>
          <w:szCs w:val="24"/>
        </w:rPr>
      </w:pPr>
      <w:r w:rsidRPr="00657833">
        <w:rPr>
          <w:rFonts w:ascii="Arial" w:hAnsi="Arial" w:cs="Arial"/>
          <w:b/>
          <w:szCs w:val="24"/>
        </w:rPr>
        <w:t>Kenyatta</w:t>
      </w:r>
      <w:r w:rsidR="00657833" w:rsidRPr="00657833">
        <w:rPr>
          <w:rFonts w:ascii="Arial" w:hAnsi="Arial" w:cs="Arial"/>
          <w:b/>
          <w:szCs w:val="24"/>
        </w:rPr>
        <w:t xml:space="preserve"> </w:t>
      </w:r>
      <w:r w:rsidRPr="00657833">
        <w:rPr>
          <w:rFonts w:ascii="Arial" w:hAnsi="Arial" w:cs="Arial"/>
          <w:b/>
          <w:szCs w:val="24"/>
        </w:rPr>
        <w:t>Nyi</w:t>
      </w:r>
      <w:r w:rsidRPr="00657833">
        <w:rPr>
          <w:rFonts w:ascii="Arial" w:hAnsi="Arial" w:cs="Arial"/>
          <w:b/>
          <w:szCs w:val="24"/>
        </w:rPr>
        <w:t>renda</w:t>
      </w:r>
    </w:p>
    <w:p w:rsidR="003B242B" w:rsidRPr="00657833" w:rsidRDefault="00BF3F1D" w:rsidP="00657833">
      <w:pPr>
        <w:ind w:left="3659" w:right="3712"/>
        <w:jc w:val="center"/>
        <w:rPr>
          <w:rFonts w:ascii="Arial" w:eastAsia="Times New Roman" w:hAnsi="Arial" w:cs="Arial"/>
          <w:szCs w:val="24"/>
        </w:rPr>
      </w:pPr>
      <w:r w:rsidRPr="00657833">
        <w:rPr>
          <w:rFonts w:ascii="Arial" w:hAnsi="Arial" w:cs="Arial"/>
          <w:b/>
          <w:szCs w:val="24"/>
        </w:rPr>
        <w:t>JUDGE</w:t>
      </w:r>
      <w:bookmarkEnd w:id="0"/>
    </w:p>
    <w:sectPr w:rsidR="003B242B" w:rsidRPr="00657833">
      <w:pgSz w:w="12240" w:h="16980"/>
      <w:pgMar w:top="1120" w:right="1280" w:bottom="2900" w:left="1320" w:header="898" w:footer="2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D" w:rsidRDefault="00BF3F1D">
      <w:r>
        <w:separator/>
      </w:r>
    </w:p>
  </w:endnote>
  <w:endnote w:type="continuationSeparator" w:id="0">
    <w:p w:rsidR="00BF3F1D" w:rsidRDefault="00BF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4.85pt;margin-top:702.45pt;width:11.65pt;height:13.55pt;z-index:-9472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24" w:lineRule="exact"/>
                  <w:ind w:left="4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D6670"/>
                    <w:w w:val="14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7359">
                  <w:rPr>
                    <w:rFonts w:ascii="Times New Roman"/>
                    <w:noProof/>
                    <w:color w:val="5D6670"/>
                    <w:w w:val="14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5.35pt;margin-top:704.4pt;width:7.6pt;height:11pt;z-index:-9400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626970"/>
                    <w:w w:val="110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5.35pt;margin-top:703.65pt;width:7.8pt;height:12pt;z-index:-9328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626974"/>
                    <w:w w:val="115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5.55pt;margin-top:703.3pt;width:7.3pt;height:12pt;z-index:-9256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626972"/>
                    <w:w w:val="105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05pt;margin-top:703.1pt;width:7.05pt;height:12pt;z-index:-9184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60696E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55pt;margin-top:702.85pt;width:9.8pt;height:12.75pt;z-index:-9112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before="8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D6772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7359">
                  <w:rPr>
                    <w:rFonts w:ascii="Times New Roman"/>
                    <w:noProof/>
                    <w:color w:val="5D6772"/>
                    <w:w w:val="115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D" w:rsidRDefault="00BF3F1D">
      <w:r>
        <w:separator/>
      </w:r>
    </w:p>
  </w:footnote>
  <w:footnote w:type="continuationSeparator" w:id="0">
    <w:p w:rsidR="00BF3F1D" w:rsidRDefault="00BF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.05pt;margin-top:44.2pt;width:145.65pt;height:11.5pt;z-index:-9520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5D6670"/>
                    <w:sz w:val="19"/>
                  </w:rPr>
                  <w:t>Catherine</w:t>
                </w:r>
                <w:r>
                  <w:rPr>
                    <w:rFonts w:ascii="Arial"/>
                    <w:color w:val="5D6670"/>
                    <w:spacing w:val="29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5D6670"/>
                    <w:spacing w:val="1"/>
                    <w:sz w:val="19"/>
                  </w:rPr>
                  <w:t>Mwa</w:t>
                </w:r>
                <w:r>
                  <w:rPr>
                    <w:rFonts w:ascii="Arial"/>
                    <w:color w:val="3A6267"/>
                    <w:spacing w:val="1"/>
                    <w:sz w:val="19"/>
                  </w:rPr>
                  <w:t>l</w:t>
                </w:r>
                <w:r>
                  <w:rPr>
                    <w:rFonts w:ascii="Arial"/>
                    <w:color w:val="5D6670"/>
                    <w:spacing w:val="2"/>
                    <w:sz w:val="19"/>
                  </w:rPr>
                  <w:t>a</w:t>
                </w:r>
                <w:proofErr w:type="spellEnd"/>
                <w:r>
                  <w:rPr>
                    <w:rFonts w:ascii="Arial"/>
                    <w:color w:val="5D6670"/>
                    <w:spacing w:val="7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670"/>
                    <w:sz w:val="19"/>
                  </w:rPr>
                  <w:t>v.</w:t>
                </w:r>
                <w:r>
                  <w:rPr>
                    <w:rFonts w:ascii="Arial"/>
                    <w:color w:val="5D6670"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670"/>
                    <w:spacing w:val="2"/>
                    <w:sz w:val="19"/>
                  </w:rPr>
                  <w:t>Jo</w:t>
                </w:r>
                <w:r>
                  <w:rPr>
                    <w:rFonts w:ascii="Arial"/>
                    <w:color w:val="44506B"/>
                    <w:spacing w:val="2"/>
                    <w:sz w:val="19"/>
                  </w:rPr>
                  <w:t>yce</w:t>
                </w:r>
                <w:r>
                  <w:rPr>
                    <w:rFonts w:ascii="Arial"/>
                    <w:color w:val="44506B"/>
                    <w:spacing w:val="22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4506B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46.05pt;margin-top:44.65pt;width:96.15pt;height:11.5pt;z-index:-9496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4506B"/>
                    <w:sz w:val="19"/>
                  </w:rPr>
                  <w:t>K</w:t>
                </w:r>
                <w:r>
                  <w:rPr>
                    <w:rFonts w:ascii="Arial"/>
                    <w:color w:val="5D6670"/>
                    <w:sz w:val="19"/>
                  </w:rPr>
                  <w:t>enyatta</w:t>
                </w:r>
                <w:r>
                  <w:rPr>
                    <w:rFonts w:ascii="Arial"/>
                    <w:color w:val="5D6670"/>
                    <w:spacing w:val="41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670"/>
                    <w:sz w:val="19"/>
                  </w:rPr>
                  <w:t>Nyirenda,</w:t>
                </w:r>
                <w:r>
                  <w:rPr>
                    <w:rFonts w:ascii="Arial"/>
                    <w:color w:val="5D6670"/>
                    <w:spacing w:val="2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670"/>
                    <w:sz w:val="19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0.55pt;margin-top:45pt;width:146pt;height:11.5pt;z-index:-9448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B566E"/>
                    <w:sz w:val="19"/>
                  </w:rPr>
                  <w:t>Catherine</w:t>
                </w:r>
                <w:r>
                  <w:rPr>
                    <w:rFonts w:ascii="Arial"/>
                    <w:color w:val="4B566E"/>
                    <w:spacing w:val="31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B566E"/>
                    <w:sz w:val="19"/>
                  </w:rPr>
                  <w:t>Mwala</w:t>
                </w:r>
                <w:proofErr w:type="spellEnd"/>
                <w:r>
                  <w:rPr>
                    <w:rFonts w:ascii="Arial"/>
                    <w:color w:val="4B566E"/>
                    <w:spacing w:val="11"/>
                    <w:sz w:val="19"/>
                  </w:rPr>
                  <w:t xml:space="preserve"> </w:t>
                </w:r>
                <w:r>
                  <w:rPr>
                    <w:rFonts w:ascii="Arial"/>
                    <w:color w:val="4B566E"/>
                    <w:sz w:val="19"/>
                  </w:rPr>
                  <w:t>v.</w:t>
                </w:r>
                <w:r>
                  <w:rPr>
                    <w:rFonts w:ascii="Arial"/>
                    <w:color w:val="4B566E"/>
                    <w:spacing w:val="-1"/>
                    <w:sz w:val="19"/>
                  </w:rPr>
                  <w:t xml:space="preserve"> </w:t>
                </w:r>
                <w:r>
                  <w:rPr>
                    <w:rFonts w:ascii="Arial"/>
                    <w:color w:val="4B566E"/>
                    <w:sz w:val="19"/>
                  </w:rPr>
                  <w:t>Joyce</w:t>
                </w:r>
                <w:r>
                  <w:rPr>
                    <w:rFonts w:ascii="Arial"/>
                    <w:color w:val="4B566E"/>
                    <w:spacing w:val="39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B566E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45.35pt;margin-top:45.25pt;width:96.6pt;height:11.5pt;z-index:-9424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B566E"/>
                    <w:sz w:val="19"/>
                  </w:rPr>
                  <w:t>Kenyatta</w:t>
                </w:r>
                <w:r>
                  <w:rPr>
                    <w:rFonts w:ascii="Arial"/>
                    <w:color w:val="4B566E"/>
                    <w:spacing w:val="48"/>
                    <w:sz w:val="19"/>
                  </w:rPr>
                  <w:t xml:space="preserve"> </w:t>
                </w:r>
                <w:r>
                  <w:rPr>
                    <w:rFonts w:ascii="Arial"/>
                    <w:color w:val="4B566E"/>
                    <w:sz w:val="19"/>
                  </w:rPr>
                  <w:t>Nyirenda,</w:t>
                </w:r>
                <w:r>
                  <w:rPr>
                    <w:rFonts w:ascii="Arial"/>
                    <w:color w:val="4B566E"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color w:val="626970"/>
                    <w:sz w:val="19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0.1pt;margin-top:44.5pt;width:146pt;height:11.5pt;z-index:-9376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D566D"/>
                    <w:w w:val="105"/>
                    <w:sz w:val="19"/>
                  </w:rPr>
                  <w:t>Catherine</w:t>
                </w:r>
                <w:r>
                  <w:rPr>
                    <w:rFonts w:ascii="Arial"/>
                    <w:color w:val="4D566D"/>
                    <w:spacing w:val="-10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D566D"/>
                    <w:w w:val="105"/>
                    <w:sz w:val="19"/>
                  </w:rPr>
                  <w:t>Mwala</w:t>
                </w:r>
                <w:proofErr w:type="spellEnd"/>
                <w:r>
                  <w:rPr>
                    <w:rFonts w:ascii="Arial"/>
                    <w:color w:val="4D566D"/>
                    <w:spacing w:val="-20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D566D"/>
                    <w:spacing w:val="10"/>
                    <w:w w:val="105"/>
                    <w:sz w:val="19"/>
                  </w:rPr>
                  <w:t>v</w:t>
                </w:r>
                <w:r>
                  <w:rPr>
                    <w:rFonts w:ascii="Arial"/>
                    <w:color w:val="777C85"/>
                    <w:spacing w:val="8"/>
                    <w:w w:val="105"/>
                    <w:sz w:val="19"/>
                  </w:rPr>
                  <w:t>.</w:t>
                </w:r>
                <w:r>
                  <w:rPr>
                    <w:rFonts w:ascii="Arial"/>
                    <w:color w:val="777C85"/>
                    <w:spacing w:val="-40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626974"/>
                    <w:w w:val="105"/>
                    <w:sz w:val="19"/>
                  </w:rPr>
                  <w:t>Joyce</w:t>
                </w:r>
                <w:r>
                  <w:rPr>
                    <w:rFonts w:ascii="Arial"/>
                    <w:color w:val="626974"/>
                    <w:spacing w:val="-8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D566D"/>
                    <w:w w:val="105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45.15pt;margin-top:44.75pt;width:96.4pt;height:11.5pt;z-index:-9352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D566D"/>
                    <w:sz w:val="19"/>
                  </w:rPr>
                  <w:t>Kenyatta</w:t>
                </w:r>
                <w:r>
                  <w:rPr>
                    <w:rFonts w:ascii="Arial"/>
                    <w:color w:val="4D566D"/>
                    <w:spacing w:val="49"/>
                    <w:sz w:val="19"/>
                  </w:rPr>
                  <w:t xml:space="preserve"> </w:t>
                </w:r>
                <w:r>
                  <w:rPr>
                    <w:rFonts w:ascii="Arial"/>
                    <w:color w:val="4D566D"/>
                    <w:sz w:val="19"/>
                  </w:rPr>
                  <w:t>Nyirenda,</w:t>
                </w:r>
                <w:r>
                  <w:rPr>
                    <w:rFonts w:ascii="Arial"/>
                    <w:color w:val="4D566D"/>
                    <w:spacing w:val="4"/>
                    <w:sz w:val="19"/>
                  </w:rPr>
                  <w:t xml:space="preserve"> </w:t>
                </w:r>
                <w:r>
                  <w:rPr>
                    <w:rFonts w:ascii="Arial"/>
                    <w:color w:val="626974"/>
                    <w:sz w:val="19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.05pt;margin-top:45.15pt;width:145.4pt;height:11.5pt;z-index:-9304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B546B"/>
                    <w:sz w:val="19"/>
                  </w:rPr>
                  <w:t>Catherine</w:t>
                </w:r>
                <w:r>
                  <w:rPr>
                    <w:rFonts w:ascii="Arial"/>
                    <w:color w:val="4B546B"/>
                    <w:spacing w:val="32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B546B"/>
                    <w:sz w:val="19"/>
                  </w:rPr>
                  <w:t>Mwala</w:t>
                </w:r>
                <w:proofErr w:type="spellEnd"/>
                <w:r>
                  <w:rPr>
                    <w:rFonts w:ascii="Arial"/>
                    <w:color w:val="4B546B"/>
                    <w:spacing w:val="4"/>
                    <w:sz w:val="19"/>
                  </w:rPr>
                  <w:t xml:space="preserve"> </w:t>
                </w:r>
                <w:r>
                  <w:rPr>
                    <w:rFonts w:ascii="Arial"/>
                    <w:color w:val="626972"/>
                    <w:sz w:val="19"/>
                  </w:rPr>
                  <w:t>v.</w:t>
                </w:r>
                <w:r>
                  <w:rPr>
                    <w:rFonts w:ascii="Arial"/>
                    <w:color w:val="626972"/>
                    <w:spacing w:val="1"/>
                    <w:sz w:val="19"/>
                  </w:rPr>
                  <w:t xml:space="preserve"> </w:t>
                </w:r>
                <w:r>
                  <w:rPr>
                    <w:rFonts w:ascii="Arial"/>
                    <w:color w:val="4B546B"/>
                    <w:sz w:val="19"/>
                  </w:rPr>
                  <w:t>Joyce</w:t>
                </w:r>
                <w:r>
                  <w:rPr>
                    <w:rFonts w:ascii="Arial"/>
                    <w:color w:val="4B546B"/>
                    <w:spacing w:val="32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B546B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45.85pt;margin-top:45.6pt;width:96.15pt;height:11.5pt;z-index:-9280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626972"/>
                    <w:sz w:val="19"/>
                  </w:rPr>
                  <w:t>Kenyatta</w:t>
                </w:r>
                <w:r>
                  <w:rPr>
                    <w:rFonts w:ascii="Arial"/>
                    <w:color w:val="626972"/>
                    <w:spacing w:val="41"/>
                    <w:sz w:val="19"/>
                  </w:rPr>
                  <w:t xml:space="preserve"> </w:t>
                </w:r>
                <w:r>
                  <w:rPr>
                    <w:rFonts w:ascii="Arial"/>
                    <w:color w:val="4B546B"/>
                    <w:sz w:val="19"/>
                  </w:rPr>
                  <w:t>Nyirenda,</w:t>
                </w:r>
                <w:r>
                  <w:rPr>
                    <w:rFonts w:ascii="Arial"/>
                    <w:color w:val="4B546B"/>
                    <w:spacing w:val="7"/>
                    <w:sz w:val="19"/>
                  </w:rPr>
                  <w:t xml:space="preserve"> </w:t>
                </w:r>
                <w:r>
                  <w:rPr>
                    <w:rFonts w:ascii="Arial"/>
                    <w:color w:val="626972"/>
                    <w:sz w:val="19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8pt;margin-top:44.9pt;width:145.7pt;height:11.5pt;z-index:-9232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9546B"/>
                    <w:sz w:val="19"/>
                  </w:rPr>
                  <w:t>Catherine</w:t>
                </w:r>
                <w:r>
                  <w:rPr>
                    <w:rFonts w:ascii="Arial"/>
                    <w:color w:val="49546B"/>
                    <w:spacing w:val="37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9546B"/>
                    <w:sz w:val="19"/>
                  </w:rPr>
                  <w:t>Mwala</w:t>
                </w:r>
                <w:proofErr w:type="spellEnd"/>
                <w:r>
                  <w:rPr>
                    <w:rFonts w:ascii="Arial"/>
                    <w:color w:val="49546B"/>
                    <w:spacing w:val="13"/>
                    <w:sz w:val="19"/>
                  </w:rPr>
                  <w:t xml:space="preserve"> </w:t>
                </w:r>
                <w:r>
                  <w:rPr>
                    <w:rFonts w:ascii="Arial"/>
                    <w:color w:val="49546B"/>
                    <w:spacing w:val="10"/>
                    <w:sz w:val="19"/>
                  </w:rPr>
                  <w:t>v</w:t>
                </w:r>
                <w:r>
                  <w:rPr>
                    <w:rFonts w:ascii="Arial"/>
                    <w:color w:val="838385"/>
                    <w:spacing w:val="8"/>
                    <w:sz w:val="19"/>
                  </w:rPr>
                  <w:t>.</w:t>
                </w:r>
                <w:r>
                  <w:rPr>
                    <w:rFonts w:ascii="Arial"/>
                    <w:color w:val="838385"/>
                    <w:spacing w:val="-24"/>
                    <w:sz w:val="19"/>
                  </w:rPr>
                  <w:t xml:space="preserve"> </w:t>
                </w:r>
                <w:r>
                  <w:rPr>
                    <w:rFonts w:ascii="Arial"/>
                    <w:color w:val="49546B"/>
                    <w:sz w:val="19"/>
                  </w:rPr>
                  <w:t>Joyce</w:t>
                </w:r>
                <w:r>
                  <w:rPr>
                    <w:rFonts w:ascii="Arial"/>
                    <w:color w:val="49546B"/>
                    <w:spacing w:val="30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9546B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5.6pt;margin-top:45.4pt;width:97.65pt;height:11.5pt;z-index:-9208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60696E"/>
                    <w:sz w:val="19"/>
                  </w:rPr>
                  <w:t>Kenyatta</w:t>
                </w:r>
                <w:r>
                  <w:rPr>
                    <w:rFonts w:ascii="Arial"/>
                    <w:color w:val="60696E"/>
                    <w:spacing w:val="40"/>
                    <w:sz w:val="19"/>
                  </w:rPr>
                  <w:t xml:space="preserve"> </w:t>
                </w:r>
                <w:r>
                  <w:rPr>
                    <w:rFonts w:ascii="Arial"/>
                    <w:color w:val="60696E"/>
                    <w:sz w:val="19"/>
                  </w:rPr>
                  <w:t>Nyirenda,</w:t>
                </w:r>
                <w:r>
                  <w:rPr>
                    <w:rFonts w:ascii="Arial"/>
                    <w:color w:val="60696E"/>
                    <w:spacing w:val="13"/>
                    <w:sz w:val="19"/>
                  </w:rPr>
                  <w:t xml:space="preserve"> </w:t>
                </w:r>
                <w:proofErr w:type="gramStart"/>
                <w:r>
                  <w:rPr>
                    <w:rFonts w:ascii="Arial"/>
                    <w:color w:val="60696E"/>
                    <w:sz w:val="19"/>
                  </w:rPr>
                  <w:t>J</w:t>
                </w:r>
                <w:r>
                  <w:rPr>
                    <w:rFonts w:ascii="Arial"/>
                    <w:color w:val="60696E"/>
                    <w:spacing w:val="-27"/>
                    <w:sz w:val="19"/>
                  </w:rPr>
                  <w:t xml:space="preserve"> </w:t>
                </w:r>
                <w:r>
                  <w:rPr>
                    <w:rFonts w:ascii="Arial"/>
                    <w:color w:val="838385"/>
                    <w:sz w:val="19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2B" w:rsidRDefault="00BF3F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8pt;margin-top:45.4pt;width:145.4pt;height:11.5pt;z-index:-9160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5D6772"/>
                    <w:sz w:val="19"/>
                  </w:rPr>
                  <w:t>Catherine</w:t>
                </w:r>
                <w:r>
                  <w:rPr>
                    <w:rFonts w:ascii="Arial"/>
                    <w:color w:val="5D6772"/>
                    <w:spacing w:val="37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5D6772"/>
                    <w:sz w:val="19"/>
                  </w:rPr>
                  <w:t>Mwala</w:t>
                </w:r>
                <w:proofErr w:type="spellEnd"/>
                <w:r>
                  <w:rPr>
                    <w:rFonts w:ascii="Arial"/>
                    <w:color w:val="5D6772"/>
                    <w:spacing w:val="7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772"/>
                    <w:spacing w:val="10"/>
                    <w:sz w:val="19"/>
                  </w:rPr>
                  <w:t>v</w:t>
                </w:r>
                <w:r>
                  <w:rPr>
                    <w:rFonts w:ascii="Arial"/>
                    <w:color w:val="858587"/>
                    <w:spacing w:val="8"/>
                    <w:sz w:val="19"/>
                  </w:rPr>
                  <w:t>.</w:t>
                </w:r>
                <w:r>
                  <w:rPr>
                    <w:rFonts w:ascii="Arial"/>
                    <w:color w:val="858587"/>
                    <w:spacing w:val="-24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772"/>
                    <w:sz w:val="19"/>
                  </w:rPr>
                  <w:t>Joyce</w:t>
                </w:r>
                <w:r>
                  <w:rPr>
                    <w:rFonts w:ascii="Arial"/>
                    <w:color w:val="5D6772"/>
                    <w:spacing w:val="30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95269"/>
                    <w:sz w:val="19"/>
                  </w:rPr>
                  <w:t>Lipaya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5.6pt;margin-top:45.85pt;width:96.45pt;height:11.5pt;z-index:-9136;mso-position-horizontal-relative:page;mso-position-vertical-relative:page" filled="f" stroked="f">
          <v:textbox inset="0,0,0,0">
            <w:txbxContent>
              <w:p w:rsidR="003B242B" w:rsidRDefault="00BF3F1D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5D6772"/>
                    <w:sz w:val="19"/>
                  </w:rPr>
                  <w:t>Kenyatta</w:t>
                </w:r>
                <w:r>
                  <w:rPr>
                    <w:rFonts w:ascii="Arial"/>
                    <w:color w:val="5D6772"/>
                    <w:spacing w:val="44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772"/>
                    <w:sz w:val="19"/>
                  </w:rPr>
                  <w:t>Nyirenda,</w:t>
                </w:r>
                <w:r>
                  <w:rPr>
                    <w:rFonts w:ascii="Arial"/>
                    <w:color w:val="5D6772"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color w:val="5D6772"/>
                    <w:sz w:val="19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A1D"/>
    <w:multiLevelType w:val="multilevel"/>
    <w:tmpl w:val="A0E4B156"/>
    <w:lvl w:ilvl="0">
      <w:start w:val="3"/>
      <w:numFmt w:val="decimal"/>
      <w:lvlText w:val="%1"/>
      <w:lvlJc w:val="left"/>
      <w:pPr>
        <w:ind w:left="1587" w:hanging="6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7" w:hanging="607"/>
        <w:jc w:val="left"/>
      </w:pPr>
      <w:rPr>
        <w:rFonts w:ascii="Times New Roman" w:eastAsia="Times New Roman" w:hAnsi="Times New Roman" w:hint="default"/>
        <w:i/>
        <w:color w:val="5D6670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3349" w:hanging="6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1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2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3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4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607"/>
      </w:pPr>
      <w:rPr>
        <w:rFonts w:hint="default"/>
      </w:rPr>
    </w:lvl>
  </w:abstractNum>
  <w:abstractNum w:abstractNumId="1" w15:restartNumberingAfterBreak="0">
    <w:nsid w:val="292F1DC4"/>
    <w:multiLevelType w:val="hybridMultilevel"/>
    <w:tmpl w:val="2B1AFAFA"/>
    <w:lvl w:ilvl="0" w:tplc="035C4492">
      <w:start w:val="2"/>
      <w:numFmt w:val="decimal"/>
      <w:lvlText w:val="(%1)"/>
      <w:lvlJc w:val="left"/>
      <w:pPr>
        <w:ind w:left="1556" w:hanging="704"/>
        <w:jc w:val="left"/>
      </w:pPr>
      <w:rPr>
        <w:rFonts w:ascii="Times New Roman" w:eastAsia="Times New Roman" w:hAnsi="Times New Roman" w:hint="default"/>
        <w:i/>
        <w:color w:val="626970"/>
        <w:w w:val="97"/>
        <w:sz w:val="24"/>
        <w:szCs w:val="24"/>
      </w:rPr>
    </w:lvl>
    <w:lvl w:ilvl="1" w:tplc="E83E10E0">
      <w:start w:val="1"/>
      <w:numFmt w:val="bullet"/>
      <w:lvlText w:val="•"/>
      <w:lvlJc w:val="left"/>
      <w:pPr>
        <w:ind w:left="2365" w:hanging="704"/>
      </w:pPr>
      <w:rPr>
        <w:rFonts w:hint="default"/>
      </w:rPr>
    </w:lvl>
    <w:lvl w:ilvl="2" w:tplc="B3D802C0">
      <w:start w:val="1"/>
      <w:numFmt w:val="bullet"/>
      <w:lvlText w:val="•"/>
      <w:lvlJc w:val="left"/>
      <w:pPr>
        <w:ind w:left="3173" w:hanging="704"/>
      </w:pPr>
      <w:rPr>
        <w:rFonts w:hint="default"/>
      </w:rPr>
    </w:lvl>
    <w:lvl w:ilvl="3" w:tplc="EBC20BB2">
      <w:start w:val="1"/>
      <w:numFmt w:val="bullet"/>
      <w:lvlText w:val="•"/>
      <w:lvlJc w:val="left"/>
      <w:pPr>
        <w:ind w:left="3981" w:hanging="704"/>
      </w:pPr>
      <w:rPr>
        <w:rFonts w:hint="default"/>
      </w:rPr>
    </w:lvl>
    <w:lvl w:ilvl="4" w:tplc="F46694FA">
      <w:start w:val="1"/>
      <w:numFmt w:val="bullet"/>
      <w:lvlText w:val="•"/>
      <w:lvlJc w:val="left"/>
      <w:pPr>
        <w:ind w:left="4790" w:hanging="704"/>
      </w:pPr>
      <w:rPr>
        <w:rFonts w:hint="default"/>
      </w:rPr>
    </w:lvl>
    <w:lvl w:ilvl="5" w:tplc="D4EACE7E">
      <w:start w:val="1"/>
      <w:numFmt w:val="bullet"/>
      <w:lvlText w:val="•"/>
      <w:lvlJc w:val="left"/>
      <w:pPr>
        <w:ind w:left="5598" w:hanging="704"/>
      </w:pPr>
      <w:rPr>
        <w:rFonts w:hint="default"/>
      </w:rPr>
    </w:lvl>
    <w:lvl w:ilvl="6" w:tplc="4594AAB0">
      <w:start w:val="1"/>
      <w:numFmt w:val="bullet"/>
      <w:lvlText w:val="•"/>
      <w:lvlJc w:val="left"/>
      <w:pPr>
        <w:ind w:left="6406" w:hanging="704"/>
      </w:pPr>
      <w:rPr>
        <w:rFonts w:hint="default"/>
      </w:rPr>
    </w:lvl>
    <w:lvl w:ilvl="7" w:tplc="D4FA1450">
      <w:start w:val="1"/>
      <w:numFmt w:val="bullet"/>
      <w:lvlText w:val="•"/>
      <w:lvlJc w:val="left"/>
      <w:pPr>
        <w:ind w:left="7215" w:hanging="704"/>
      </w:pPr>
      <w:rPr>
        <w:rFonts w:hint="default"/>
      </w:rPr>
    </w:lvl>
    <w:lvl w:ilvl="8" w:tplc="8B1ACE78">
      <w:start w:val="1"/>
      <w:numFmt w:val="bullet"/>
      <w:lvlText w:val="•"/>
      <w:lvlJc w:val="left"/>
      <w:pPr>
        <w:ind w:left="8023" w:hanging="704"/>
      </w:pPr>
      <w:rPr>
        <w:rFonts w:hint="default"/>
      </w:rPr>
    </w:lvl>
  </w:abstractNum>
  <w:abstractNum w:abstractNumId="2" w15:restartNumberingAfterBreak="0">
    <w:nsid w:val="295E257A"/>
    <w:multiLevelType w:val="hybridMultilevel"/>
    <w:tmpl w:val="F63E6E98"/>
    <w:lvl w:ilvl="0" w:tplc="4016DE76">
      <w:start w:val="2"/>
      <w:numFmt w:val="lowerLetter"/>
      <w:lvlText w:val="(%1)"/>
      <w:lvlJc w:val="left"/>
      <w:pPr>
        <w:ind w:left="100" w:hanging="407"/>
        <w:jc w:val="left"/>
      </w:pPr>
      <w:rPr>
        <w:rFonts w:ascii="Times New Roman" w:eastAsia="Times New Roman" w:hAnsi="Times New Roman" w:hint="default"/>
        <w:color w:val="5E6770"/>
        <w:w w:val="103"/>
        <w:sz w:val="27"/>
        <w:szCs w:val="27"/>
      </w:rPr>
    </w:lvl>
    <w:lvl w:ilvl="1" w:tplc="F21E2B44">
      <w:start w:val="1"/>
      <w:numFmt w:val="lowerLetter"/>
      <w:lvlText w:val="(%2)"/>
      <w:lvlJc w:val="left"/>
      <w:pPr>
        <w:ind w:left="2260" w:hanging="709"/>
        <w:jc w:val="left"/>
      </w:pPr>
      <w:rPr>
        <w:rFonts w:ascii="Times New Roman" w:eastAsia="Times New Roman" w:hAnsi="Times New Roman" w:hint="default"/>
        <w:i/>
        <w:color w:val="606972"/>
        <w:w w:val="108"/>
        <w:sz w:val="22"/>
        <w:szCs w:val="22"/>
      </w:rPr>
    </w:lvl>
    <w:lvl w:ilvl="2" w:tplc="4A3420B6">
      <w:start w:val="1"/>
      <w:numFmt w:val="bullet"/>
      <w:lvlText w:val="•"/>
      <w:lvlJc w:val="left"/>
      <w:pPr>
        <w:ind w:left="3082" w:hanging="709"/>
      </w:pPr>
      <w:rPr>
        <w:rFonts w:hint="default"/>
      </w:rPr>
    </w:lvl>
    <w:lvl w:ilvl="3" w:tplc="6024CF52">
      <w:start w:val="1"/>
      <w:numFmt w:val="bullet"/>
      <w:lvlText w:val="•"/>
      <w:lvlJc w:val="left"/>
      <w:pPr>
        <w:ind w:left="3904" w:hanging="709"/>
      </w:pPr>
      <w:rPr>
        <w:rFonts w:hint="default"/>
      </w:rPr>
    </w:lvl>
    <w:lvl w:ilvl="4" w:tplc="1F94BFAA">
      <w:start w:val="1"/>
      <w:numFmt w:val="bullet"/>
      <w:lvlText w:val="•"/>
      <w:lvlJc w:val="left"/>
      <w:pPr>
        <w:ind w:left="4727" w:hanging="709"/>
      </w:pPr>
      <w:rPr>
        <w:rFonts w:hint="default"/>
      </w:rPr>
    </w:lvl>
    <w:lvl w:ilvl="5" w:tplc="7360AD44">
      <w:start w:val="1"/>
      <w:numFmt w:val="bullet"/>
      <w:lvlText w:val="•"/>
      <w:lvlJc w:val="left"/>
      <w:pPr>
        <w:ind w:left="5549" w:hanging="709"/>
      </w:pPr>
      <w:rPr>
        <w:rFonts w:hint="default"/>
      </w:rPr>
    </w:lvl>
    <w:lvl w:ilvl="6" w:tplc="86FE5D12">
      <w:start w:val="1"/>
      <w:numFmt w:val="bullet"/>
      <w:lvlText w:val="•"/>
      <w:lvlJc w:val="left"/>
      <w:pPr>
        <w:ind w:left="6371" w:hanging="709"/>
      </w:pPr>
      <w:rPr>
        <w:rFonts w:hint="default"/>
      </w:rPr>
    </w:lvl>
    <w:lvl w:ilvl="7" w:tplc="EA463428">
      <w:start w:val="1"/>
      <w:numFmt w:val="bullet"/>
      <w:lvlText w:val="•"/>
      <w:lvlJc w:val="left"/>
      <w:pPr>
        <w:ind w:left="7193" w:hanging="709"/>
      </w:pPr>
      <w:rPr>
        <w:rFonts w:hint="default"/>
      </w:rPr>
    </w:lvl>
    <w:lvl w:ilvl="8" w:tplc="40DA6676">
      <w:start w:val="1"/>
      <w:numFmt w:val="bullet"/>
      <w:lvlText w:val="•"/>
      <w:lvlJc w:val="left"/>
      <w:pPr>
        <w:ind w:left="8015" w:hanging="709"/>
      </w:pPr>
      <w:rPr>
        <w:rFonts w:hint="default"/>
      </w:rPr>
    </w:lvl>
  </w:abstractNum>
  <w:abstractNum w:abstractNumId="3" w15:restartNumberingAfterBreak="0">
    <w:nsid w:val="2E8C61A3"/>
    <w:multiLevelType w:val="hybridMultilevel"/>
    <w:tmpl w:val="D00A974C"/>
    <w:lvl w:ilvl="0" w:tplc="D2823D6E">
      <w:start w:val="4"/>
      <w:numFmt w:val="decimal"/>
      <w:lvlText w:val="(%1)"/>
      <w:lvlJc w:val="left"/>
      <w:pPr>
        <w:ind w:left="1528" w:hanging="704"/>
        <w:jc w:val="left"/>
      </w:pPr>
      <w:rPr>
        <w:rFonts w:ascii="Times New Roman" w:eastAsia="Times New Roman" w:hAnsi="Times New Roman" w:hint="default"/>
        <w:i/>
        <w:color w:val="626974"/>
        <w:w w:val="101"/>
        <w:sz w:val="23"/>
        <w:szCs w:val="23"/>
      </w:rPr>
    </w:lvl>
    <w:lvl w:ilvl="1" w:tplc="37341A32">
      <w:start w:val="1"/>
      <w:numFmt w:val="lowerLetter"/>
      <w:lvlText w:val="(%2)"/>
      <w:lvlJc w:val="left"/>
      <w:pPr>
        <w:ind w:left="2270" w:hanging="714"/>
        <w:jc w:val="left"/>
      </w:pPr>
      <w:rPr>
        <w:rFonts w:ascii="Times New Roman" w:eastAsia="Times New Roman" w:hAnsi="Times New Roman" w:hint="default"/>
        <w:i/>
        <w:color w:val="626974"/>
        <w:w w:val="103"/>
        <w:sz w:val="23"/>
        <w:szCs w:val="23"/>
      </w:rPr>
    </w:lvl>
    <w:lvl w:ilvl="2" w:tplc="59A21F64">
      <w:start w:val="1"/>
      <w:numFmt w:val="bullet"/>
      <w:lvlText w:val="•"/>
      <w:lvlJc w:val="left"/>
      <w:pPr>
        <w:ind w:left="3089" w:hanging="714"/>
      </w:pPr>
      <w:rPr>
        <w:rFonts w:hint="default"/>
      </w:rPr>
    </w:lvl>
    <w:lvl w:ilvl="3" w:tplc="8E7CAC9A">
      <w:start w:val="1"/>
      <w:numFmt w:val="bullet"/>
      <w:lvlText w:val="•"/>
      <w:lvlJc w:val="left"/>
      <w:pPr>
        <w:ind w:left="3907" w:hanging="714"/>
      </w:pPr>
      <w:rPr>
        <w:rFonts w:hint="default"/>
      </w:rPr>
    </w:lvl>
    <w:lvl w:ilvl="4" w:tplc="27BE00AA">
      <w:start w:val="1"/>
      <w:numFmt w:val="bullet"/>
      <w:lvlText w:val="•"/>
      <w:lvlJc w:val="left"/>
      <w:pPr>
        <w:ind w:left="4726" w:hanging="714"/>
      </w:pPr>
      <w:rPr>
        <w:rFonts w:hint="default"/>
      </w:rPr>
    </w:lvl>
    <w:lvl w:ilvl="5" w:tplc="DA00F47A">
      <w:start w:val="1"/>
      <w:numFmt w:val="bullet"/>
      <w:lvlText w:val="•"/>
      <w:lvlJc w:val="left"/>
      <w:pPr>
        <w:ind w:left="5545" w:hanging="714"/>
      </w:pPr>
      <w:rPr>
        <w:rFonts w:hint="default"/>
      </w:rPr>
    </w:lvl>
    <w:lvl w:ilvl="6" w:tplc="9A30CFC6">
      <w:start w:val="1"/>
      <w:numFmt w:val="bullet"/>
      <w:lvlText w:val="•"/>
      <w:lvlJc w:val="left"/>
      <w:pPr>
        <w:ind w:left="6364" w:hanging="714"/>
      </w:pPr>
      <w:rPr>
        <w:rFonts w:hint="default"/>
      </w:rPr>
    </w:lvl>
    <w:lvl w:ilvl="7" w:tplc="70B8A5FC">
      <w:start w:val="1"/>
      <w:numFmt w:val="bullet"/>
      <w:lvlText w:val="•"/>
      <w:lvlJc w:val="left"/>
      <w:pPr>
        <w:ind w:left="7183" w:hanging="714"/>
      </w:pPr>
      <w:rPr>
        <w:rFonts w:hint="default"/>
      </w:rPr>
    </w:lvl>
    <w:lvl w:ilvl="8" w:tplc="46361704">
      <w:start w:val="1"/>
      <w:numFmt w:val="bullet"/>
      <w:lvlText w:val="•"/>
      <w:lvlJc w:val="left"/>
      <w:pPr>
        <w:ind w:left="8002" w:hanging="714"/>
      </w:pPr>
      <w:rPr>
        <w:rFonts w:hint="default"/>
      </w:rPr>
    </w:lvl>
  </w:abstractNum>
  <w:abstractNum w:abstractNumId="4" w15:restartNumberingAfterBreak="0">
    <w:nsid w:val="3BA67E02"/>
    <w:multiLevelType w:val="hybridMultilevel"/>
    <w:tmpl w:val="C5D867E0"/>
    <w:lvl w:ilvl="0" w:tplc="8EF0FDA2">
      <w:start w:val="2"/>
      <w:numFmt w:val="decimal"/>
      <w:lvlText w:val="(%1)"/>
      <w:lvlJc w:val="left"/>
      <w:pPr>
        <w:ind w:left="1547" w:hanging="699"/>
        <w:jc w:val="left"/>
      </w:pPr>
      <w:rPr>
        <w:rFonts w:ascii="Times New Roman" w:eastAsia="Times New Roman" w:hAnsi="Times New Roman" w:hint="default"/>
        <w:i/>
        <w:color w:val="606972"/>
        <w:w w:val="106"/>
        <w:sz w:val="22"/>
        <w:szCs w:val="22"/>
      </w:rPr>
    </w:lvl>
    <w:lvl w:ilvl="1" w:tplc="DA9C4F72">
      <w:start w:val="1"/>
      <w:numFmt w:val="lowerLetter"/>
      <w:lvlText w:val="(%2)"/>
      <w:lvlJc w:val="left"/>
      <w:pPr>
        <w:ind w:left="2279" w:hanging="714"/>
        <w:jc w:val="left"/>
      </w:pPr>
      <w:rPr>
        <w:rFonts w:ascii="Times New Roman" w:eastAsia="Times New Roman" w:hAnsi="Times New Roman" w:hint="default"/>
        <w:i/>
        <w:color w:val="606972"/>
        <w:w w:val="108"/>
        <w:sz w:val="22"/>
        <w:szCs w:val="22"/>
      </w:rPr>
    </w:lvl>
    <w:lvl w:ilvl="2" w:tplc="567E9CF8">
      <w:start w:val="1"/>
      <w:numFmt w:val="bullet"/>
      <w:lvlText w:val="•"/>
      <w:lvlJc w:val="left"/>
      <w:pPr>
        <w:ind w:left="3101" w:hanging="714"/>
      </w:pPr>
      <w:rPr>
        <w:rFonts w:hint="default"/>
      </w:rPr>
    </w:lvl>
    <w:lvl w:ilvl="3" w:tplc="5F1083E4">
      <w:start w:val="1"/>
      <w:numFmt w:val="bullet"/>
      <w:lvlText w:val="•"/>
      <w:lvlJc w:val="left"/>
      <w:pPr>
        <w:ind w:left="3924" w:hanging="714"/>
      </w:pPr>
      <w:rPr>
        <w:rFonts w:hint="default"/>
      </w:rPr>
    </w:lvl>
    <w:lvl w:ilvl="4" w:tplc="41801BF2">
      <w:start w:val="1"/>
      <w:numFmt w:val="bullet"/>
      <w:lvlText w:val="•"/>
      <w:lvlJc w:val="left"/>
      <w:pPr>
        <w:ind w:left="4746" w:hanging="714"/>
      </w:pPr>
      <w:rPr>
        <w:rFonts w:hint="default"/>
      </w:rPr>
    </w:lvl>
    <w:lvl w:ilvl="5" w:tplc="61BE1C1A">
      <w:start w:val="1"/>
      <w:numFmt w:val="bullet"/>
      <w:lvlText w:val="•"/>
      <w:lvlJc w:val="left"/>
      <w:pPr>
        <w:ind w:left="5568" w:hanging="714"/>
      </w:pPr>
      <w:rPr>
        <w:rFonts w:hint="default"/>
      </w:rPr>
    </w:lvl>
    <w:lvl w:ilvl="6" w:tplc="6E8C6248">
      <w:start w:val="1"/>
      <w:numFmt w:val="bullet"/>
      <w:lvlText w:val="•"/>
      <w:lvlJc w:val="left"/>
      <w:pPr>
        <w:ind w:left="6391" w:hanging="714"/>
      </w:pPr>
      <w:rPr>
        <w:rFonts w:hint="default"/>
      </w:rPr>
    </w:lvl>
    <w:lvl w:ilvl="7" w:tplc="C908CA4E">
      <w:start w:val="1"/>
      <w:numFmt w:val="bullet"/>
      <w:lvlText w:val="•"/>
      <w:lvlJc w:val="left"/>
      <w:pPr>
        <w:ind w:left="7213" w:hanging="714"/>
      </w:pPr>
      <w:rPr>
        <w:rFonts w:hint="default"/>
      </w:rPr>
    </w:lvl>
    <w:lvl w:ilvl="8" w:tplc="A886BF88">
      <w:start w:val="1"/>
      <w:numFmt w:val="bullet"/>
      <w:lvlText w:val="•"/>
      <w:lvlJc w:val="left"/>
      <w:pPr>
        <w:ind w:left="8035" w:hanging="71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42B"/>
    <w:rsid w:val="003B242B"/>
    <w:rsid w:val="00657833"/>
    <w:rsid w:val="00A77359"/>
    <w:rsid w:val="00B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15B7CC27-0589-4AF3-AE7C-2B3F7BD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4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2017-01-19T09:26:00Z</dcterms:created>
  <dcterms:modified xsi:type="dcterms:W3CDTF">2017-01-19T07:35:00Z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