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F62" w:rsidRPr="000E5043" w:rsidRDefault="00F83F62" w:rsidP="008C6287">
      <w:pPr>
        <w:pStyle w:val="NoSpacing"/>
        <w:jc w:val="both"/>
        <w:rPr>
          <w:rFonts w:ascii="Times New Roman" w:hAnsi="Times New Roman"/>
          <w:b/>
          <w:sz w:val="24"/>
          <w:szCs w:val="24"/>
        </w:rPr>
      </w:pPr>
      <w:bookmarkStart w:id="0" w:name="_GoBack"/>
      <w:bookmarkEnd w:id="0"/>
    </w:p>
    <w:p w:rsidR="008C6287" w:rsidRPr="000E5043" w:rsidRDefault="005A37E2" w:rsidP="008C6287">
      <w:pPr>
        <w:pStyle w:val="NoSpacing"/>
        <w:jc w:val="both"/>
        <w:rPr>
          <w:rFonts w:ascii="Times New Roman" w:hAnsi="Times New Roman"/>
          <w:b/>
          <w:sz w:val="24"/>
          <w:szCs w:val="24"/>
        </w:rPr>
      </w:pPr>
      <w:r>
        <w:rPr>
          <w:rFonts w:ascii="Times New Roman" w:hAnsi="Times New Roman"/>
          <w:b/>
          <w:noProof/>
          <w:sz w:val="24"/>
          <w:szCs w:val="24"/>
          <w:lang w:val="en-ZA" w:eastAsia="en-ZA"/>
        </w:rPr>
        <w:drawing>
          <wp:anchor distT="0" distB="0" distL="114300" distR="114300" simplePos="0" relativeHeight="251657728" behindDoc="0" locked="0" layoutInCell="1" allowOverlap="1">
            <wp:simplePos x="0" y="0"/>
            <wp:positionH relativeFrom="column">
              <wp:posOffset>2526030</wp:posOffset>
            </wp:positionH>
            <wp:positionV relativeFrom="paragraph">
              <wp:posOffset>-29845</wp:posOffset>
            </wp:positionV>
            <wp:extent cx="1375410" cy="86868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375410" cy="868680"/>
                    </a:xfrm>
                    <a:prstGeom prst="rect">
                      <a:avLst/>
                    </a:prstGeom>
                    <a:noFill/>
                    <a:ln w="9525">
                      <a:noFill/>
                      <a:miter lim="800000"/>
                      <a:headEnd/>
                      <a:tailEnd/>
                    </a:ln>
                  </pic:spPr>
                </pic:pic>
              </a:graphicData>
            </a:graphic>
          </wp:anchor>
        </w:drawing>
      </w:r>
    </w:p>
    <w:p w:rsidR="008C6287" w:rsidRPr="000E5043" w:rsidRDefault="008C6287" w:rsidP="008C6287">
      <w:pPr>
        <w:pStyle w:val="NoSpacing"/>
        <w:ind w:firstLine="708"/>
        <w:jc w:val="both"/>
        <w:rPr>
          <w:rFonts w:ascii="Times New Roman" w:hAnsi="Times New Roman"/>
          <w:b/>
          <w:sz w:val="24"/>
          <w:szCs w:val="24"/>
        </w:rPr>
      </w:pPr>
    </w:p>
    <w:p w:rsidR="008C6287" w:rsidRPr="000E5043" w:rsidRDefault="008C6287" w:rsidP="008C6287">
      <w:pPr>
        <w:pStyle w:val="NoSpacing"/>
        <w:ind w:firstLine="708"/>
        <w:jc w:val="center"/>
        <w:rPr>
          <w:rFonts w:ascii="Times New Roman" w:hAnsi="Times New Roman"/>
          <w:b/>
          <w:sz w:val="24"/>
          <w:szCs w:val="24"/>
        </w:rPr>
      </w:pPr>
    </w:p>
    <w:p w:rsidR="008C6287" w:rsidRPr="000E5043" w:rsidRDefault="008C6287" w:rsidP="008C6287">
      <w:pPr>
        <w:pStyle w:val="NoSpacing"/>
        <w:rPr>
          <w:rFonts w:ascii="Times New Roman" w:hAnsi="Times New Roman"/>
          <w:b/>
          <w:sz w:val="24"/>
          <w:szCs w:val="24"/>
        </w:rPr>
      </w:pPr>
    </w:p>
    <w:p w:rsidR="000E5043" w:rsidRPr="000E5043" w:rsidRDefault="008C6287" w:rsidP="008C6287">
      <w:pPr>
        <w:pStyle w:val="NoSpacing"/>
        <w:ind w:firstLine="708"/>
        <w:rPr>
          <w:rFonts w:ascii="Times New Roman" w:hAnsi="Times New Roman"/>
          <w:b/>
          <w:sz w:val="24"/>
          <w:szCs w:val="24"/>
        </w:rPr>
      </w:pPr>
      <w:r w:rsidRPr="000E5043">
        <w:rPr>
          <w:rFonts w:ascii="Times New Roman" w:hAnsi="Times New Roman"/>
          <w:b/>
          <w:sz w:val="24"/>
          <w:szCs w:val="24"/>
        </w:rPr>
        <w:t xml:space="preserve">                                             </w:t>
      </w:r>
    </w:p>
    <w:p w:rsidR="008C6287" w:rsidRDefault="008C6287" w:rsidP="000E5043">
      <w:pPr>
        <w:pStyle w:val="NoSpacing"/>
        <w:ind w:firstLine="708"/>
        <w:jc w:val="center"/>
        <w:rPr>
          <w:rFonts w:ascii="Times New Roman" w:hAnsi="Times New Roman"/>
          <w:b/>
          <w:sz w:val="28"/>
          <w:szCs w:val="28"/>
        </w:rPr>
      </w:pPr>
      <w:r w:rsidRPr="000E5043">
        <w:rPr>
          <w:rFonts w:ascii="Times New Roman" w:hAnsi="Times New Roman"/>
          <w:b/>
          <w:sz w:val="28"/>
          <w:szCs w:val="28"/>
        </w:rPr>
        <w:t>JUDICIARY</w:t>
      </w:r>
    </w:p>
    <w:p w:rsidR="004865C9" w:rsidRPr="004865C9" w:rsidRDefault="004865C9" w:rsidP="004865C9">
      <w:pPr>
        <w:pStyle w:val="NoSpacing"/>
        <w:ind w:firstLine="708"/>
        <w:jc w:val="center"/>
        <w:rPr>
          <w:rFonts w:ascii="Times New Roman" w:hAnsi="Times New Roman"/>
          <w:b/>
          <w:sz w:val="28"/>
          <w:szCs w:val="28"/>
        </w:rPr>
      </w:pPr>
      <w:r w:rsidRPr="004865C9">
        <w:rPr>
          <w:rFonts w:ascii="Times New Roman" w:hAnsi="Times New Roman"/>
          <w:b/>
          <w:sz w:val="28"/>
          <w:szCs w:val="28"/>
        </w:rPr>
        <w:t>IN THE HIGH COURT OF MALAWI</w:t>
      </w:r>
    </w:p>
    <w:p w:rsidR="004865C9" w:rsidRPr="000E5043" w:rsidRDefault="004865C9" w:rsidP="004865C9">
      <w:pPr>
        <w:pStyle w:val="NoSpacing"/>
        <w:ind w:firstLine="708"/>
        <w:jc w:val="center"/>
        <w:rPr>
          <w:rFonts w:ascii="Times New Roman" w:hAnsi="Times New Roman"/>
          <w:b/>
          <w:sz w:val="28"/>
          <w:szCs w:val="28"/>
        </w:rPr>
      </w:pPr>
      <w:r w:rsidRPr="000E5043">
        <w:rPr>
          <w:rFonts w:ascii="Times New Roman" w:hAnsi="Times New Roman"/>
          <w:b/>
          <w:sz w:val="28"/>
          <w:szCs w:val="28"/>
        </w:rPr>
        <w:t>PRINCIPAL REGISTRY</w:t>
      </w:r>
    </w:p>
    <w:p w:rsidR="00C84497" w:rsidRDefault="00C84497" w:rsidP="004865C9">
      <w:pPr>
        <w:pStyle w:val="NoSpacing"/>
        <w:ind w:firstLine="708"/>
        <w:jc w:val="center"/>
        <w:rPr>
          <w:rFonts w:ascii="Times New Roman" w:hAnsi="Times New Roman"/>
          <w:b/>
          <w:sz w:val="28"/>
          <w:szCs w:val="28"/>
          <w:u w:val="single"/>
        </w:rPr>
      </w:pPr>
    </w:p>
    <w:p w:rsidR="004865C9" w:rsidRDefault="00CA63C6" w:rsidP="004865C9">
      <w:pPr>
        <w:pStyle w:val="NoSpacing"/>
        <w:ind w:firstLine="708"/>
        <w:jc w:val="center"/>
        <w:rPr>
          <w:rFonts w:ascii="Times New Roman" w:hAnsi="Times New Roman"/>
          <w:b/>
          <w:sz w:val="28"/>
          <w:szCs w:val="28"/>
          <w:u w:val="single"/>
        </w:rPr>
      </w:pPr>
      <w:proofErr w:type="gramStart"/>
      <w:r>
        <w:rPr>
          <w:rFonts w:ascii="Times New Roman" w:hAnsi="Times New Roman"/>
          <w:b/>
          <w:sz w:val="28"/>
          <w:szCs w:val="28"/>
          <w:u w:val="single"/>
        </w:rPr>
        <w:t>MISCELLANEOUS MATRIMONIAL CAUSE</w:t>
      </w:r>
      <w:r w:rsidR="00C36DE3">
        <w:rPr>
          <w:rFonts w:ascii="Times New Roman" w:hAnsi="Times New Roman"/>
          <w:b/>
          <w:sz w:val="28"/>
          <w:szCs w:val="28"/>
          <w:u w:val="single"/>
        </w:rPr>
        <w:t xml:space="preserve"> </w:t>
      </w:r>
      <w:r w:rsidR="004865C9" w:rsidRPr="000E5043">
        <w:rPr>
          <w:rFonts w:ascii="Times New Roman" w:hAnsi="Times New Roman"/>
          <w:b/>
          <w:sz w:val="28"/>
          <w:szCs w:val="28"/>
          <w:u w:val="single"/>
        </w:rPr>
        <w:t>NO</w:t>
      </w:r>
      <w:r>
        <w:rPr>
          <w:rFonts w:ascii="Times New Roman" w:hAnsi="Times New Roman"/>
          <w:b/>
          <w:sz w:val="28"/>
          <w:szCs w:val="28"/>
          <w:u w:val="single"/>
        </w:rPr>
        <w:t>.</w:t>
      </w:r>
      <w:proofErr w:type="gramEnd"/>
      <w:r>
        <w:rPr>
          <w:rFonts w:ascii="Times New Roman" w:hAnsi="Times New Roman"/>
          <w:b/>
          <w:sz w:val="28"/>
          <w:szCs w:val="28"/>
          <w:u w:val="single"/>
        </w:rPr>
        <w:t xml:space="preserve"> 24</w:t>
      </w:r>
      <w:r w:rsidR="00C879EB">
        <w:rPr>
          <w:rFonts w:ascii="Times New Roman" w:hAnsi="Times New Roman"/>
          <w:b/>
          <w:sz w:val="28"/>
          <w:szCs w:val="28"/>
          <w:u w:val="single"/>
        </w:rPr>
        <w:t xml:space="preserve"> OF 2015</w:t>
      </w:r>
    </w:p>
    <w:p w:rsidR="0008644C" w:rsidRPr="0008644C" w:rsidRDefault="00CA63C6" w:rsidP="0008644C">
      <w:pPr>
        <w:pStyle w:val="NoSpacing"/>
        <w:jc w:val="center"/>
        <w:rPr>
          <w:rFonts w:ascii="Times New Roman" w:hAnsi="Times New Roman"/>
          <w:b/>
          <w:sz w:val="28"/>
          <w:szCs w:val="28"/>
        </w:rPr>
      </w:pPr>
      <w:r>
        <w:rPr>
          <w:rFonts w:ascii="Times New Roman" w:hAnsi="Times New Roman"/>
          <w:b/>
          <w:sz w:val="28"/>
          <w:szCs w:val="28"/>
        </w:rPr>
        <w:t xml:space="preserve">(Being Civil Cause No. 93 of 2015 before the </w:t>
      </w:r>
      <w:r w:rsidR="0008644C" w:rsidRPr="0008644C">
        <w:rPr>
          <w:rFonts w:ascii="Times New Roman" w:hAnsi="Times New Roman"/>
          <w:b/>
          <w:sz w:val="28"/>
          <w:szCs w:val="28"/>
        </w:rPr>
        <w:t xml:space="preserve">Magistrate </w:t>
      </w:r>
      <w:r>
        <w:rPr>
          <w:rFonts w:ascii="Times New Roman" w:hAnsi="Times New Roman"/>
          <w:b/>
          <w:sz w:val="28"/>
          <w:szCs w:val="28"/>
        </w:rPr>
        <w:t xml:space="preserve">Court </w:t>
      </w:r>
      <w:r w:rsidR="0008644C" w:rsidRPr="0008644C">
        <w:rPr>
          <w:rFonts w:ascii="Times New Roman" w:hAnsi="Times New Roman"/>
          <w:b/>
          <w:sz w:val="28"/>
          <w:szCs w:val="28"/>
        </w:rPr>
        <w:t xml:space="preserve">Sitting at </w:t>
      </w:r>
      <w:proofErr w:type="spellStart"/>
      <w:r>
        <w:rPr>
          <w:rFonts w:ascii="Times New Roman" w:hAnsi="Times New Roman"/>
          <w:b/>
          <w:sz w:val="28"/>
          <w:szCs w:val="28"/>
        </w:rPr>
        <w:t>Chikwawa</w:t>
      </w:r>
      <w:proofErr w:type="spellEnd"/>
      <w:r w:rsidR="0008644C" w:rsidRPr="0008644C">
        <w:rPr>
          <w:rFonts w:ascii="Times New Roman" w:hAnsi="Times New Roman"/>
          <w:b/>
          <w:sz w:val="28"/>
          <w:szCs w:val="28"/>
        </w:rPr>
        <w:t>)</w:t>
      </w:r>
    </w:p>
    <w:p w:rsidR="0008644C" w:rsidRPr="000E5043" w:rsidRDefault="0008644C" w:rsidP="004865C9">
      <w:pPr>
        <w:pStyle w:val="NoSpacing"/>
        <w:ind w:firstLine="708"/>
        <w:jc w:val="center"/>
        <w:rPr>
          <w:rFonts w:ascii="Times New Roman" w:hAnsi="Times New Roman"/>
          <w:b/>
          <w:sz w:val="28"/>
          <w:szCs w:val="28"/>
          <w:u w:val="single"/>
        </w:rPr>
      </w:pPr>
    </w:p>
    <w:p w:rsidR="004865C9" w:rsidRDefault="004865C9" w:rsidP="004027FF">
      <w:pPr>
        <w:pStyle w:val="NoSpacing"/>
        <w:rPr>
          <w:rFonts w:ascii="Times New Roman" w:hAnsi="Times New Roman"/>
          <w:b/>
          <w:sz w:val="28"/>
          <w:szCs w:val="28"/>
        </w:rPr>
      </w:pPr>
      <w:r w:rsidRPr="00B334FA">
        <w:rPr>
          <w:rFonts w:ascii="Times New Roman" w:hAnsi="Times New Roman"/>
          <w:b/>
          <w:sz w:val="28"/>
          <w:szCs w:val="28"/>
        </w:rPr>
        <w:t>BETWEEN:</w:t>
      </w:r>
    </w:p>
    <w:p w:rsidR="004027FF" w:rsidRPr="00B334FA" w:rsidRDefault="004027FF" w:rsidP="004027FF">
      <w:pPr>
        <w:pStyle w:val="NoSpacing"/>
        <w:rPr>
          <w:rFonts w:ascii="Times New Roman" w:hAnsi="Times New Roman"/>
          <w:b/>
          <w:sz w:val="28"/>
          <w:szCs w:val="28"/>
        </w:rPr>
      </w:pPr>
    </w:p>
    <w:p w:rsidR="004865C9" w:rsidRDefault="00CA63C6" w:rsidP="004027FF">
      <w:pPr>
        <w:pStyle w:val="NoSpacing"/>
        <w:rPr>
          <w:rFonts w:ascii="Times New Roman" w:hAnsi="Times New Roman"/>
          <w:b/>
          <w:sz w:val="28"/>
          <w:szCs w:val="28"/>
        </w:rPr>
      </w:pPr>
      <w:r>
        <w:rPr>
          <w:rFonts w:ascii="Times New Roman" w:hAnsi="Times New Roman"/>
          <w:b/>
          <w:sz w:val="28"/>
          <w:szCs w:val="28"/>
        </w:rPr>
        <w:t xml:space="preserve">GLADYS NDUNYA </w:t>
      </w:r>
      <w:r w:rsidR="0012620A">
        <w:rPr>
          <w:rFonts w:ascii="Times New Roman" w:hAnsi="Times New Roman"/>
          <w:b/>
          <w:sz w:val="28"/>
          <w:szCs w:val="28"/>
        </w:rPr>
        <w:t>………</w:t>
      </w:r>
      <w:r w:rsidR="00C36DE3">
        <w:rPr>
          <w:rFonts w:ascii="Times New Roman" w:hAnsi="Times New Roman"/>
          <w:b/>
          <w:sz w:val="28"/>
          <w:szCs w:val="28"/>
        </w:rPr>
        <w:t>………………………</w:t>
      </w:r>
      <w:r w:rsidR="0012620A">
        <w:rPr>
          <w:rFonts w:ascii="Times New Roman" w:hAnsi="Times New Roman"/>
          <w:b/>
          <w:sz w:val="28"/>
          <w:szCs w:val="28"/>
        </w:rPr>
        <w:t>.</w:t>
      </w:r>
      <w:r w:rsidR="00C40CE6">
        <w:rPr>
          <w:rFonts w:ascii="Times New Roman" w:hAnsi="Times New Roman"/>
          <w:b/>
          <w:sz w:val="28"/>
          <w:szCs w:val="28"/>
        </w:rPr>
        <w:t>…</w:t>
      </w:r>
      <w:r>
        <w:rPr>
          <w:rFonts w:ascii="Times New Roman" w:hAnsi="Times New Roman"/>
          <w:b/>
          <w:sz w:val="28"/>
          <w:szCs w:val="28"/>
        </w:rPr>
        <w:t>…</w:t>
      </w:r>
      <w:r w:rsidR="00C40CE6">
        <w:rPr>
          <w:rFonts w:ascii="Times New Roman" w:hAnsi="Times New Roman"/>
          <w:b/>
          <w:sz w:val="28"/>
          <w:szCs w:val="28"/>
        </w:rPr>
        <w:t>…</w:t>
      </w:r>
      <w:r w:rsidR="00C36DE3">
        <w:rPr>
          <w:rFonts w:ascii="Times New Roman" w:hAnsi="Times New Roman"/>
          <w:b/>
          <w:sz w:val="28"/>
          <w:szCs w:val="28"/>
        </w:rPr>
        <w:t>…</w:t>
      </w:r>
      <w:r w:rsidR="00C40CE6">
        <w:rPr>
          <w:rFonts w:ascii="Times New Roman" w:hAnsi="Times New Roman"/>
          <w:b/>
          <w:sz w:val="28"/>
          <w:szCs w:val="28"/>
        </w:rPr>
        <w:t>...…</w:t>
      </w:r>
      <w:r w:rsidR="004865C9">
        <w:rPr>
          <w:rFonts w:ascii="Times New Roman" w:hAnsi="Times New Roman"/>
          <w:b/>
          <w:sz w:val="28"/>
          <w:szCs w:val="28"/>
        </w:rPr>
        <w:t xml:space="preserve">. </w:t>
      </w:r>
      <w:r w:rsidR="00C36DE3">
        <w:rPr>
          <w:rFonts w:ascii="Times New Roman" w:hAnsi="Times New Roman"/>
          <w:b/>
          <w:sz w:val="28"/>
          <w:szCs w:val="28"/>
        </w:rPr>
        <w:t>APP</w:t>
      </w:r>
      <w:r>
        <w:rPr>
          <w:rFonts w:ascii="Times New Roman" w:hAnsi="Times New Roman"/>
          <w:b/>
          <w:sz w:val="28"/>
          <w:szCs w:val="28"/>
        </w:rPr>
        <w:t>LICANT</w:t>
      </w:r>
    </w:p>
    <w:p w:rsidR="004027FF" w:rsidRDefault="00F42A7D" w:rsidP="00F42A7D">
      <w:pPr>
        <w:pStyle w:val="NoSpacing"/>
        <w:tabs>
          <w:tab w:val="left" w:pos="5220"/>
        </w:tabs>
        <w:rPr>
          <w:rFonts w:ascii="Times New Roman" w:hAnsi="Times New Roman"/>
          <w:b/>
          <w:sz w:val="28"/>
          <w:szCs w:val="28"/>
        </w:rPr>
      </w:pPr>
      <w:r>
        <w:rPr>
          <w:rFonts w:ascii="Times New Roman" w:hAnsi="Times New Roman"/>
          <w:b/>
          <w:sz w:val="28"/>
          <w:szCs w:val="28"/>
        </w:rPr>
        <w:tab/>
      </w:r>
    </w:p>
    <w:p w:rsidR="00C36DE3" w:rsidRDefault="00C36DE3" w:rsidP="004027FF">
      <w:pPr>
        <w:pStyle w:val="NoSpacing"/>
        <w:rPr>
          <w:rFonts w:ascii="Times New Roman" w:hAnsi="Times New Roman"/>
          <w:b/>
          <w:sz w:val="28"/>
          <w:szCs w:val="28"/>
        </w:rPr>
      </w:pPr>
      <w:r>
        <w:rPr>
          <w:rFonts w:ascii="Times New Roman" w:hAnsi="Times New Roman"/>
          <w:b/>
          <w:sz w:val="28"/>
          <w:szCs w:val="28"/>
        </w:rPr>
        <w:t>-AND-</w:t>
      </w:r>
    </w:p>
    <w:p w:rsidR="00C36DE3" w:rsidRDefault="00C36DE3" w:rsidP="004027FF">
      <w:pPr>
        <w:pStyle w:val="NoSpacing"/>
        <w:rPr>
          <w:rFonts w:ascii="Times New Roman" w:hAnsi="Times New Roman"/>
          <w:b/>
          <w:sz w:val="28"/>
          <w:szCs w:val="28"/>
        </w:rPr>
      </w:pPr>
    </w:p>
    <w:p w:rsidR="004865C9" w:rsidRDefault="00CA63C6" w:rsidP="004027FF">
      <w:pPr>
        <w:pStyle w:val="NoSpacing"/>
        <w:rPr>
          <w:rFonts w:ascii="Times New Roman" w:hAnsi="Times New Roman"/>
          <w:b/>
          <w:sz w:val="28"/>
          <w:szCs w:val="28"/>
        </w:rPr>
      </w:pPr>
      <w:r>
        <w:rPr>
          <w:rFonts w:ascii="Times New Roman" w:hAnsi="Times New Roman"/>
          <w:b/>
          <w:sz w:val="28"/>
          <w:szCs w:val="28"/>
        </w:rPr>
        <w:t xml:space="preserve">GIFT NDUNYA </w:t>
      </w:r>
      <w:r w:rsidR="003830EC">
        <w:rPr>
          <w:rFonts w:ascii="Times New Roman" w:hAnsi="Times New Roman"/>
          <w:b/>
          <w:sz w:val="28"/>
          <w:szCs w:val="28"/>
        </w:rPr>
        <w:t>………</w:t>
      </w:r>
      <w:r>
        <w:rPr>
          <w:rFonts w:ascii="Times New Roman" w:hAnsi="Times New Roman"/>
          <w:b/>
          <w:sz w:val="28"/>
          <w:szCs w:val="28"/>
        </w:rPr>
        <w:t>…………..</w:t>
      </w:r>
      <w:r w:rsidR="00C36DE3">
        <w:rPr>
          <w:rFonts w:ascii="Times New Roman" w:hAnsi="Times New Roman"/>
          <w:b/>
          <w:sz w:val="28"/>
          <w:szCs w:val="28"/>
        </w:rPr>
        <w:t>……………………...</w:t>
      </w:r>
      <w:r w:rsidR="004E0A74">
        <w:rPr>
          <w:rFonts w:ascii="Times New Roman" w:hAnsi="Times New Roman"/>
          <w:b/>
          <w:sz w:val="28"/>
          <w:szCs w:val="28"/>
        </w:rPr>
        <w:t>..</w:t>
      </w:r>
      <w:r w:rsidR="00C879EB">
        <w:rPr>
          <w:rFonts w:ascii="Times New Roman" w:hAnsi="Times New Roman"/>
          <w:b/>
          <w:sz w:val="28"/>
          <w:szCs w:val="28"/>
        </w:rPr>
        <w:t>….</w:t>
      </w:r>
      <w:r w:rsidR="004865C9">
        <w:rPr>
          <w:rFonts w:ascii="Times New Roman" w:hAnsi="Times New Roman"/>
          <w:b/>
          <w:sz w:val="28"/>
          <w:szCs w:val="28"/>
        </w:rPr>
        <w:t>…</w:t>
      </w:r>
      <w:r w:rsidR="00C879EB">
        <w:rPr>
          <w:rFonts w:ascii="Times New Roman" w:hAnsi="Times New Roman"/>
          <w:b/>
          <w:sz w:val="28"/>
          <w:szCs w:val="28"/>
        </w:rPr>
        <w:t xml:space="preserve"> </w:t>
      </w:r>
      <w:r w:rsidR="00C36DE3">
        <w:rPr>
          <w:rFonts w:ascii="Times New Roman" w:hAnsi="Times New Roman"/>
          <w:b/>
          <w:sz w:val="28"/>
          <w:szCs w:val="28"/>
        </w:rPr>
        <w:t>RESPONDENT</w:t>
      </w:r>
    </w:p>
    <w:p w:rsidR="004027FF" w:rsidRDefault="00C40CE6" w:rsidP="0012620A">
      <w:pPr>
        <w:pStyle w:val="NoSpacing"/>
        <w:ind w:left="720" w:firstLine="720"/>
        <w:rPr>
          <w:rFonts w:ascii="Times New Roman" w:hAnsi="Times New Roman"/>
          <w:b/>
          <w:sz w:val="28"/>
          <w:szCs w:val="28"/>
        </w:rPr>
      </w:pPr>
      <w:r>
        <w:rPr>
          <w:rFonts w:ascii="Times New Roman" w:hAnsi="Times New Roman"/>
          <w:b/>
          <w:sz w:val="28"/>
          <w:szCs w:val="28"/>
        </w:rPr>
        <w:t xml:space="preserve">  </w:t>
      </w:r>
      <w:r w:rsidR="00C84497">
        <w:rPr>
          <w:rFonts w:ascii="Times New Roman" w:hAnsi="Times New Roman"/>
          <w:b/>
          <w:sz w:val="28"/>
          <w:szCs w:val="28"/>
        </w:rPr>
        <w:t xml:space="preserve">  </w:t>
      </w:r>
    </w:p>
    <w:p w:rsidR="000E5043" w:rsidRDefault="008C6287" w:rsidP="004027FF">
      <w:pPr>
        <w:pStyle w:val="NoSpacing"/>
        <w:rPr>
          <w:rFonts w:ascii="Times New Roman" w:hAnsi="Times New Roman"/>
          <w:b/>
          <w:sz w:val="28"/>
          <w:szCs w:val="28"/>
        </w:rPr>
      </w:pPr>
      <w:r w:rsidRPr="00C36DE3">
        <w:rPr>
          <w:rFonts w:ascii="Times New Roman" w:hAnsi="Times New Roman"/>
          <w:b/>
          <w:sz w:val="28"/>
          <w:szCs w:val="28"/>
        </w:rPr>
        <w:t>CORAM</w:t>
      </w:r>
      <w:r w:rsidR="00092834" w:rsidRPr="00C36DE3">
        <w:rPr>
          <w:rFonts w:ascii="Times New Roman" w:hAnsi="Times New Roman"/>
          <w:b/>
          <w:sz w:val="28"/>
          <w:szCs w:val="28"/>
        </w:rPr>
        <w:t xml:space="preserve">: </w:t>
      </w:r>
      <w:r w:rsidRPr="000E5043">
        <w:rPr>
          <w:rFonts w:ascii="Times New Roman" w:hAnsi="Times New Roman"/>
          <w:b/>
          <w:sz w:val="28"/>
          <w:szCs w:val="28"/>
        </w:rPr>
        <w:t>THE H</w:t>
      </w:r>
      <w:r w:rsidR="000E5043">
        <w:rPr>
          <w:rFonts w:ascii="Times New Roman" w:hAnsi="Times New Roman"/>
          <w:b/>
          <w:sz w:val="28"/>
          <w:szCs w:val="28"/>
        </w:rPr>
        <w:t xml:space="preserve">ONOURABLE JUSTICE </w:t>
      </w:r>
      <w:r w:rsidR="005A37E2">
        <w:rPr>
          <w:rFonts w:ascii="Times New Roman" w:hAnsi="Times New Roman"/>
          <w:b/>
          <w:sz w:val="28"/>
          <w:szCs w:val="28"/>
        </w:rPr>
        <w:t>KENYATTA NYIRENDA</w:t>
      </w:r>
    </w:p>
    <w:p w:rsidR="000E5043" w:rsidRPr="00092834" w:rsidRDefault="00AC08E6" w:rsidP="004027FF">
      <w:pPr>
        <w:pStyle w:val="NoSpacing"/>
        <w:rPr>
          <w:rFonts w:ascii="Times New Roman" w:hAnsi="Times New Roman"/>
          <w:sz w:val="28"/>
          <w:szCs w:val="28"/>
        </w:rPr>
      </w:pPr>
      <w:r>
        <w:rPr>
          <w:rFonts w:ascii="Times New Roman" w:hAnsi="Times New Roman"/>
          <w:sz w:val="28"/>
          <w:szCs w:val="28"/>
        </w:rPr>
        <w:t>M</w:t>
      </w:r>
      <w:r w:rsidR="00720D85">
        <w:rPr>
          <w:rFonts w:ascii="Times New Roman" w:hAnsi="Times New Roman"/>
          <w:sz w:val="28"/>
          <w:szCs w:val="28"/>
        </w:rPr>
        <w:t>r. Hara</w:t>
      </w:r>
      <w:r w:rsidR="00331A2C" w:rsidRPr="00092834">
        <w:rPr>
          <w:rFonts w:ascii="Times New Roman" w:hAnsi="Times New Roman"/>
          <w:sz w:val="28"/>
          <w:szCs w:val="28"/>
        </w:rPr>
        <w:t>,</w:t>
      </w:r>
      <w:r w:rsidR="005A37E2" w:rsidRPr="00092834">
        <w:rPr>
          <w:rFonts w:ascii="Times New Roman" w:hAnsi="Times New Roman"/>
          <w:sz w:val="28"/>
          <w:szCs w:val="28"/>
        </w:rPr>
        <w:t xml:space="preserve"> of Counsel, f</w:t>
      </w:r>
      <w:r w:rsidR="008C6287" w:rsidRPr="00092834">
        <w:rPr>
          <w:rFonts w:ascii="Times New Roman" w:hAnsi="Times New Roman"/>
          <w:sz w:val="28"/>
          <w:szCs w:val="28"/>
        </w:rPr>
        <w:t xml:space="preserve">or the </w:t>
      </w:r>
      <w:r w:rsidR="002913F8">
        <w:rPr>
          <w:rFonts w:ascii="Times New Roman" w:hAnsi="Times New Roman"/>
          <w:sz w:val="28"/>
          <w:szCs w:val="28"/>
        </w:rPr>
        <w:t>App</w:t>
      </w:r>
      <w:r w:rsidR="00720D85">
        <w:rPr>
          <w:rFonts w:ascii="Times New Roman" w:hAnsi="Times New Roman"/>
          <w:sz w:val="28"/>
          <w:szCs w:val="28"/>
        </w:rPr>
        <w:t>licant</w:t>
      </w:r>
      <w:r w:rsidR="002913F8">
        <w:rPr>
          <w:rFonts w:ascii="Times New Roman" w:hAnsi="Times New Roman"/>
          <w:sz w:val="28"/>
          <w:szCs w:val="28"/>
        </w:rPr>
        <w:t xml:space="preserve"> </w:t>
      </w:r>
    </w:p>
    <w:p w:rsidR="000E5043" w:rsidRDefault="00720D85" w:rsidP="004027FF">
      <w:pPr>
        <w:pStyle w:val="NoSpacing"/>
        <w:rPr>
          <w:rFonts w:ascii="Times New Roman" w:hAnsi="Times New Roman"/>
          <w:sz w:val="28"/>
          <w:szCs w:val="28"/>
        </w:rPr>
      </w:pPr>
      <w:r>
        <w:rPr>
          <w:rFonts w:ascii="Times New Roman" w:hAnsi="Times New Roman"/>
          <w:sz w:val="28"/>
          <w:szCs w:val="28"/>
        </w:rPr>
        <w:t xml:space="preserve">Mr. </w:t>
      </w:r>
      <w:proofErr w:type="spellStart"/>
      <w:r>
        <w:rPr>
          <w:rFonts w:ascii="Times New Roman" w:hAnsi="Times New Roman"/>
          <w:sz w:val="28"/>
          <w:szCs w:val="28"/>
        </w:rPr>
        <w:t>Ulaya</w:t>
      </w:r>
      <w:proofErr w:type="spellEnd"/>
      <w:r w:rsidR="00547D17">
        <w:rPr>
          <w:rFonts w:ascii="Times New Roman" w:hAnsi="Times New Roman"/>
          <w:sz w:val="28"/>
          <w:szCs w:val="28"/>
        </w:rPr>
        <w:t>,</w:t>
      </w:r>
      <w:r w:rsidR="002F7468" w:rsidRPr="00092834">
        <w:rPr>
          <w:rFonts w:ascii="Times New Roman" w:hAnsi="Times New Roman"/>
          <w:sz w:val="28"/>
          <w:szCs w:val="28"/>
        </w:rPr>
        <w:t xml:space="preserve"> of Counsel, for the </w:t>
      </w:r>
      <w:r w:rsidR="002913F8">
        <w:rPr>
          <w:rFonts w:ascii="Times New Roman" w:hAnsi="Times New Roman"/>
          <w:sz w:val="28"/>
          <w:szCs w:val="28"/>
        </w:rPr>
        <w:t>Respondent</w:t>
      </w:r>
    </w:p>
    <w:p w:rsidR="00C879EB" w:rsidRPr="005276D9" w:rsidRDefault="0079185F" w:rsidP="00C879EB">
      <w:pPr>
        <w:rPr>
          <w:rFonts w:ascii="Times New Roman" w:hAnsi="Times New Roman"/>
          <w:sz w:val="28"/>
          <w:szCs w:val="28"/>
        </w:rPr>
      </w:pPr>
      <w:r>
        <w:rPr>
          <w:rFonts w:ascii="Times New Roman" w:hAnsi="Times New Roman"/>
          <w:sz w:val="28"/>
          <w:szCs w:val="28"/>
        </w:rPr>
        <w:t>M</w:t>
      </w:r>
      <w:r w:rsidR="00C879EB">
        <w:rPr>
          <w:rFonts w:ascii="Times New Roman" w:hAnsi="Times New Roman"/>
          <w:sz w:val="28"/>
          <w:szCs w:val="28"/>
        </w:rPr>
        <w:t>s. A</w:t>
      </w:r>
      <w:r w:rsidR="00C879EB" w:rsidRPr="005276D9">
        <w:rPr>
          <w:rFonts w:ascii="Times New Roman" w:hAnsi="Times New Roman"/>
          <w:sz w:val="28"/>
          <w:szCs w:val="28"/>
        </w:rPr>
        <w:t xml:space="preserve">. </w:t>
      </w:r>
      <w:proofErr w:type="spellStart"/>
      <w:r w:rsidR="00C879EB" w:rsidRPr="005276D9">
        <w:rPr>
          <w:rFonts w:ascii="Times New Roman" w:hAnsi="Times New Roman"/>
          <w:sz w:val="28"/>
          <w:szCs w:val="28"/>
        </w:rPr>
        <w:t>M</w:t>
      </w:r>
      <w:r w:rsidR="00C879EB">
        <w:rPr>
          <w:rFonts w:ascii="Times New Roman" w:hAnsi="Times New Roman"/>
          <w:sz w:val="28"/>
          <w:szCs w:val="28"/>
        </w:rPr>
        <w:t>pasu</w:t>
      </w:r>
      <w:proofErr w:type="spellEnd"/>
      <w:r w:rsidR="00C879EB" w:rsidRPr="005276D9">
        <w:rPr>
          <w:rFonts w:ascii="Times New Roman" w:hAnsi="Times New Roman"/>
          <w:sz w:val="28"/>
          <w:szCs w:val="28"/>
        </w:rPr>
        <w:t xml:space="preserve">, Court Clerk                                                                                                            </w:t>
      </w:r>
    </w:p>
    <w:p w:rsidR="00C879EB" w:rsidRPr="00BC430D" w:rsidRDefault="00C879EB" w:rsidP="00C879EB">
      <w:pPr>
        <w:pBdr>
          <w:top w:val="single" w:sz="4" w:space="1" w:color="auto"/>
          <w:bottom w:val="single" w:sz="4" w:space="1" w:color="auto"/>
        </w:pBdr>
        <w:spacing w:after="0" w:line="240" w:lineRule="auto"/>
        <w:jc w:val="center"/>
        <w:rPr>
          <w:rFonts w:ascii="Times New Roman" w:eastAsiaTheme="minorHAnsi" w:hAnsi="Times New Roman"/>
          <w:b/>
          <w:color w:val="262626" w:themeColor="text1" w:themeTint="D9"/>
          <w:sz w:val="28"/>
          <w:szCs w:val="28"/>
          <w:lang w:val="en-GB"/>
        </w:rPr>
      </w:pPr>
      <w:r>
        <w:rPr>
          <w:rFonts w:ascii="Times New Roman" w:eastAsiaTheme="minorHAnsi" w:hAnsi="Times New Roman"/>
          <w:b/>
          <w:color w:val="262626" w:themeColor="text1" w:themeTint="D9"/>
          <w:sz w:val="28"/>
          <w:szCs w:val="28"/>
          <w:lang w:val="en-GB"/>
        </w:rPr>
        <w:t>ORDER</w:t>
      </w:r>
    </w:p>
    <w:p w:rsidR="00C879EB" w:rsidRDefault="00C879EB" w:rsidP="00C879EB">
      <w:pPr>
        <w:spacing w:after="120" w:line="240" w:lineRule="auto"/>
        <w:jc w:val="both"/>
        <w:rPr>
          <w:rFonts w:ascii="Times New Roman" w:hAnsi="Times New Roman"/>
          <w:sz w:val="28"/>
          <w:szCs w:val="28"/>
        </w:rPr>
      </w:pPr>
      <w:r w:rsidRPr="003E398C">
        <w:rPr>
          <w:rFonts w:ascii="Times New Roman" w:eastAsiaTheme="minorHAnsi" w:hAnsi="Times New Roman"/>
          <w:i/>
          <w:color w:val="262626" w:themeColor="text1" w:themeTint="D9"/>
          <w:sz w:val="28"/>
          <w:szCs w:val="28"/>
          <w:lang w:val="en-GB"/>
        </w:rPr>
        <w:t xml:space="preserve">Kenyatta </w:t>
      </w:r>
      <w:proofErr w:type="spellStart"/>
      <w:r w:rsidRPr="003E398C">
        <w:rPr>
          <w:rFonts w:ascii="Times New Roman" w:eastAsiaTheme="minorHAnsi" w:hAnsi="Times New Roman"/>
          <w:i/>
          <w:color w:val="262626" w:themeColor="text1" w:themeTint="D9"/>
          <w:sz w:val="28"/>
          <w:szCs w:val="28"/>
          <w:lang w:val="en-GB"/>
        </w:rPr>
        <w:t>Nyirenda</w:t>
      </w:r>
      <w:proofErr w:type="spellEnd"/>
      <w:r w:rsidRPr="003E398C">
        <w:rPr>
          <w:rFonts w:ascii="Times New Roman" w:eastAsiaTheme="minorHAnsi" w:hAnsi="Times New Roman"/>
          <w:i/>
          <w:color w:val="262626" w:themeColor="text1" w:themeTint="D9"/>
          <w:sz w:val="28"/>
          <w:szCs w:val="28"/>
          <w:lang w:val="en-GB"/>
        </w:rPr>
        <w:t>, J.</w:t>
      </w:r>
    </w:p>
    <w:p w:rsidR="00EE470B" w:rsidRPr="001D7023" w:rsidRDefault="00EE470B" w:rsidP="001D7023">
      <w:pPr>
        <w:pStyle w:val="Default"/>
        <w:jc w:val="both"/>
        <w:rPr>
          <w:sz w:val="28"/>
          <w:szCs w:val="28"/>
        </w:rPr>
      </w:pPr>
    </w:p>
    <w:p w:rsidR="00881554" w:rsidRPr="001D7023" w:rsidRDefault="0055525D" w:rsidP="001D7023">
      <w:pPr>
        <w:pStyle w:val="Default"/>
        <w:jc w:val="both"/>
        <w:rPr>
          <w:sz w:val="28"/>
          <w:szCs w:val="28"/>
        </w:rPr>
      </w:pPr>
      <w:r w:rsidRPr="001D7023">
        <w:rPr>
          <w:sz w:val="28"/>
          <w:szCs w:val="28"/>
        </w:rPr>
        <w:t>This is the Applicant’s Inter-parte Application for distribution of Matrimonial Property and an Order for Maintenance [hereinafter referred to as the “Application”]. The Application is said to have been brought under section 24(1</w:t>
      </w:r>
      <w:proofErr w:type="gramStart"/>
      <w:r w:rsidRPr="001D7023">
        <w:rPr>
          <w:sz w:val="28"/>
          <w:szCs w:val="28"/>
        </w:rPr>
        <w:t>)(</w:t>
      </w:r>
      <w:proofErr w:type="gramEnd"/>
      <w:r w:rsidRPr="001D7023">
        <w:rPr>
          <w:sz w:val="28"/>
          <w:szCs w:val="28"/>
        </w:rPr>
        <w:t xml:space="preserve">b) of the Constitution </w:t>
      </w:r>
      <w:r w:rsidR="007C69D7" w:rsidRPr="001D7023">
        <w:rPr>
          <w:sz w:val="28"/>
          <w:szCs w:val="28"/>
        </w:rPr>
        <w:t>and pursuant</w:t>
      </w:r>
      <w:r w:rsidRPr="001D7023">
        <w:rPr>
          <w:sz w:val="28"/>
          <w:szCs w:val="28"/>
        </w:rPr>
        <w:t xml:space="preserve"> to a referral </w:t>
      </w:r>
      <w:r w:rsidR="00881554" w:rsidRPr="001D7023">
        <w:rPr>
          <w:sz w:val="28"/>
          <w:szCs w:val="28"/>
        </w:rPr>
        <w:t xml:space="preserve">by </w:t>
      </w:r>
      <w:r w:rsidR="00720D85" w:rsidRPr="001D7023">
        <w:rPr>
          <w:sz w:val="28"/>
          <w:szCs w:val="28"/>
        </w:rPr>
        <w:t xml:space="preserve">the Magistrate Court sitting at </w:t>
      </w:r>
      <w:proofErr w:type="spellStart"/>
      <w:r w:rsidR="005D24A9" w:rsidRPr="001D7023">
        <w:rPr>
          <w:sz w:val="28"/>
          <w:szCs w:val="28"/>
        </w:rPr>
        <w:t>Chikwawa</w:t>
      </w:r>
      <w:proofErr w:type="spellEnd"/>
      <w:r w:rsidR="00881554" w:rsidRPr="001D7023">
        <w:rPr>
          <w:sz w:val="28"/>
          <w:szCs w:val="28"/>
        </w:rPr>
        <w:t xml:space="preserve"> (lower court) in Civil Cause No. 93 of 2015.</w:t>
      </w:r>
    </w:p>
    <w:p w:rsidR="00881554" w:rsidRPr="001D7023" w:rsidRDefault="00881554" w:rsidP="001D7023">
      <w:pPr>
        <w:pStyle w:val="Default"/>
        <w:jc w:val="both"/>
        <w:rPr>
          <w:sz w:val="28"/>
          <w:szCs w:val="28"/>
        </w:rPr>
      </w:pPr>
    </w:p>
    <w:p w:rsidR="00881554" w:rsidRPr="001D7023" w:rsidRDefault="00881554" w:rsidP="001D7023">
      <w:pPr>
        <w:pStyle w:val="Default"/>
        <w:jc w:val="both"/>
        <w:rPr>
          <w:sz w:val="28"/>
          <w:szCs w:val="28"/>
        </w:rPr>
      </w:pPr>
      <w:r w:rsidRPr="001D7023">
        <w:rPr>
          <w:sz w:val="28"/>
          <w:szCs w:val="28"/>
        </w:rPr>
        <w:t>The Applicant and the Respondent got married in 1998 under maternal system of marriage and they lived together as wife and husband until 19</w:t>
      </w:r>
      <w:r w:rsidRPr="001D7023">
        <w:rPr>
          <w:sz w:val="28"/>
          <w:szCs w:val="28"/>
          <w:vertAlign w:val="superscript"/>
        </w:rPr>
        <w:t>th</w:t>
      </w:r>
      <w:r w:rsidRPr="001D7023">
        <w:rPr>
          <w:sz w:val="28"/>
          <w:szCs w:val="28"/>
        </w:rPr>
        <w:t xml:space="preserve"> June 2015 when the lower court dissolved the marriage. </w:t>
      </w:r>
    </w:p>
    <w:p w:rsidR="007C69D7" w:rsidRDefault="007C69D7" w:rsidP="007C69D7">
      <w:pPr>
        <w:pStyle w:val="Default"/>
        <w:jc w:val="both"/>
        <w:rPr>
          <w:sz w:val="28"/>
          <w:szCs w:val="28"/>
        </w:rPr>
      </w:pPr>
    </w:p>
    <w:p w:rsidR="007C69D7" w:rsidRDefault="007C69D7" w:rsidP="007C69D7">
      <w:pPr>
        <w:pStyle w:val="Default"/>
        <w:jc w:val="both"/>
        <w:rPr>
          <w:sz w:val="28"/>
          <w:szCs w:val="28"/>
        </w:rPr>
      </w:pPr>
    </w:p>
    <w:p w:rsidR="007C69D7" w:rsidRDefault="007C69D7" w:rsidP="007C69D7">
      <w:pPr>
        <w:pStyle w:val="Default"/>
        <w:jc w:val="both"/>
        <w:rPr>
          <w:sz w:val="28"/>
          <w:szCs w:val="28"/>
        </w:rPr>
      </w:pPr>
    </w:p>
    <w:p w:rsidR="007C69D7" w:rsidRDefault="007C69D7" w:rsidP="007C69D7">
      <w:pPr>
        <w:pStyle w:val="Default"/>
        <w:jc w:val="both"/>
        <w:rPr>
          <w:sz w:val="28"/>
          <w:szCs w:val="28"/>
        </w:rPr>
      </w:pPr>
    </w:p>
    <w:p w:rsidR="005D24A9" w:rsidRPr="001D7023" w:rsidRDefault="00A746D9" w:rsidP="007C69D7">
      <w:pPr>
        <w:pStyle w:val="Default"/>
        <w:jc w:val="both"/>
        <w:rPr>
          <w:sz w:val="28"/>
          <w:szCs w:val="28"/>
        </w:rPr>
      </w:pPr>
      <w:r w:rsidRPr="001D7023">
        <w:rPr>
          <w:sz w:val="28"/>
          <w:szCs w:val="28"/>
        </w:rPr>
        <w:t xml:space="preserve">Having dissolved the marriage, the lower court referred the matter to the High Court for distribution of the matrimonial property. </w:t>
      </w:r>
      <w:r w:rsidR="005D24A9" w:rsidRPr="001D7023">
        <w:rPr>
          <w:sz w:val="28"/>
          <w:szCs w:val="28"/>
        </w:rPr>
        <w:t xml:space="preserve">For reasons which appear presently, it is necessary to reproduce the </w:t>
      </w:r>
      <w:r w:rsidRPr="001D7023">
        <w:rPr>
          <w:sz w:val="28"/>
          <w:szCs w:val="28"/>
        </w:rPr>
        <w:t>relevant part of the order of the lower court</w:t>
      </w:r>
      <w:r w:rsidR="005D24A9" w:rsidRPr="001D7023">
        <w:rPr>
          <w:sz w:val="28"/>
          <w:szCs w:val="28"/>
        </w:rPr>
        <w:t xml:space="preserve"> </w:t>
      </w:r>
      <w:r w:rsidR="005D24A9" w:rsidRPr="001D7023">
        <w:rPr>
          <w:i/>
          <w:sz w:val="28"/>
          <w:szCs w:val="28"/>
        </w:rPr>
        <w:t xml:space="preserve">in </w:t>
      </w:r>
      <w:proofErr w:type="spellStart"/>
      <w:r w:rsidR="005D24A9" w:rsidRPr="001D7023">
        <w:rPr>
          <w:i/>
          <w:sz w:val="28"/>
          <w:szCs w:val="28"/>
        </w:rPr>
        <w:t>extensio</w:t>
      </w:r>
      <w:proofErr w:type="spellEnd"/>
      <w:r w:rsidR="005D24A9" w:rsidRPr="001D7023">
        <w:rPr>
          <w:sz w:val="28"/>
          <w:szCs w:val="28"/>
        </w:rPr>
        <w:t>:</w:t>
      </w:r>
    </w:p>
    <w:p w:rsidR="007C69D7" w:rsidRDefault="007C69D7" w:rsidP="001D7023">
      <w:pPr>
        <w:pStyle w:val="Default"/>
        <w:ind w:left="720"/>
        <w:jc w:val="both"/>
        <w:rPr>
          <w:i/>
        </w:rPr>
      </w:pPr>
    </w:p>
    <w:p w:rsidR="00720D85" w:rsidRPr="001D7023" w:rsidRDefault="00A746D9" w:rsidP="001D7023">
      <w:pPr>
        <w:pStyle w:val="Default"/>
        <w:ind w:left="720"/>
        <w:jc w:val="both"/>
        <w:rPr>
          <w:i/>
        </w:rPr>
      </w:pPr>
      <w:r w:rsidRPr="001D7023">
        <w:rPr>
          <w:i/>
        </w:rPr>
        <w:t>“The distribution of property of family property is well settled. Section 24(1</w:t>
      </w:r>
      <w:proofErr w:type="gramStart"/>
      <w:r w:rsidRPr="001D7023">
        <w:rPr>
          <w:i/>
        </w:rPr>
        <w:t>)(</w:t>
      </w:r>
      <w:proofErr w:type="gramEnd"/>
      <w:r w:rsidRPr="001D7023">
        <w:rPr>
          <w:i/>
        </w:rPr>
        <w:t>b)(</w:t>
      </w:r>
      <w:proofErr w:type="spellStart"/>
      <w:r w:rsidRPr="001D7023">
        <w:rPr>
          <w:i/>
        </w:rPr>
        <w:t>i</w:t>
      </w:r>
      <w:proofErr w:type="spellEnd"/>
      <w:r w:rsidRPr="001D7023">
        <w:rPr>
          <w:i/>
        </w:rPr>
        <w:t xml:space="preserve">) of the Constitution is a starting point. I have gone </w:t>
      </w:r>
      <w:r w:rsidR="007C69D7" w:rsidRPr="001D7023">
        <w:rPr>
          <w:i/>
        </w:rPr>
        <w:t>through the</w:t>
      </w:r>
      <w:r w:rsidRPr="001D7023">
        <w:rPr>
          <w:i/>
        </w:rPr>
        <w:t xml:space="preserve"> lists of the property declared by the parties. Accordin</w:t>
      </w:r>
      <w:r w:rsidR="00FF5F3D" w:rsidRPr="001D7023">
        <w:rPr>
          <w:i/>
        </w:rPr>
        <w:t>g to both lists, the property dec</w:t>
      </w:r>
      <w:r w:rsidRPr="001D7023">
        <w:rPr>
          <w:i/>
        </w:rPr>
        <w:t>l</w:t>
      </w:r>
      <w:r w:rsidR="00FF5F3D" w:rsidRPr="001D7023">
        <w:rPr>
          <w:i/>
        </w:rPr>
        <w:t>a</w:t>
      </w:r>
      <w:r w:rsidRPr="001D7023">
        <w:rPr>
          <w:i/>
        </w:rPr>
        <w:t>red exceeds MK1</w:t>
      </w:r>
      <w:proofErr w:type="gramStart"/>
      <w:r w:rsidRPr="001D7023">
        <w:rPr>
          <w:i/>
        </w:rPr>
        <w:t>,500,000.00</w:t>
      </w:r>
      <w:proofErr w:type="gramEnd"/>
      <w:r w:rsidRPr="001D7023">
        <w:rPr>
          <w:i/>
        </w:rPr>
        <w:t xml:space="preserve">  the maximum property this court can share under section 39(1) of the Courts Act. I, therefore refer the matter to High Court for distribution of property.”</w:t>
      </w:r>
    </w:p>
    <w:p w:rsidR="00A746D9" w:rsidRPr="001D7023" w:rsidRDefault="00A746D9" w:rsidP="001D7023">
      <w:pPr>
        <w:pStyle w:val="Default"/>
        <w:jc w:val="both"/>
        <w:rPr>
          <w:sz w:val="28"/>
          <w:szCs w:val="28"/>
        </w:rPr>
      </w:pPr>
    </w:p>
    <w:p w:rsidR="0075016C" w:rsidRPr="001D7023" w:rsidRDefault="00881554" w:rsidP="001D7023">
      <w:pPr>
        <w:spacing w:line="240" w:lineRule="auto"/>
        <w:jc w:val="both"/>
        <w:rPr>
          <w:rFonts w:ascii="Times New Roman" w:hAnsi="Times New Roman"/>
          <w:sz w:val="28"/>
          <w:szCs w:val="28"/>
        </w:rPr>
      </w:pPr>
      <w:r w:rsidRPr="001D7023">
        <w:rPr>
          <w:rFonts w:ascii="Times New Roman" w:hAnsi="Times New Roman"/>
          <w:sz w:val="28"/>
          <w:szCs w:val="28"/>
        </w:rPr>
        <w:t xml:space="preserve">The Respondent raised </w:t>
      </w:r>
      <w:r w:rsidR="0075016C" w:rsidRPr="001D7023">
        <w:rPr>
          <w:rFonts w:ascii="Times New Roman" w:hAnsi="Times New Roman"/>
          <w:sz w:val="28"/>
          <w:szCs w:val="28"/>
        </w:rPr>
        <w:t>two p</w:t>
      </w:r>
      <w:r w:rsidR="0075016C" w:rsidRPr="001D7023">
        <w:rPr>
          <w:rFonts w:ascii="Times New Roman" w:hAnsi="Times New Roman"/>
          <w:sz w:val="28"/>
          <w:szCs w:val="28"/>
          <w:lang w:eastAsia="en-GB"/>
        </w:rPr>
        <w:t>reliminary o</w:t>
      </w:r>
      <w:r w:rsidRPr="001D7023">
        <w:rPr>
          <w:rFonts w:ascii="Times New Roman" w:hAnsi="Times New Roman"/>
          <w:sz w:val="28"/>
          <w:szCs w:val="28"/>
          <w:lang w:eastAsia="en-GB"/>
        </w:rPr>
        <w:t>bjections</w:t>
      </w:r>
      <w:r w:rsidR="0075016C" w:rsidRPr="001D7023">
        <w:rPr>
          <w:rFonts w:ascii="Times New Roman" w:hAnsi="Times New Roman"/>
          <w:sz w:val="28"/>
          <w:szCs w:val="28"/>
          <w:lang w:eastAsia="en-GB"/>
        </w:rPr>
        <w:t xml:space="preserve">, namely, that </w:t>
      </w:r>
      <w:r w:rsidR="007C69D7" w:rsidRPr="001D7023">
        <w:rPr>
          <w:rFonts w:ascii="Times New Roman" w:hAnsi="Times New Roman"/>
          <w:sz w:val="28"/>
          <w:szCs w:val="28"/>
          <w:lang w:eastAsia="en-GB"/>
        </w:rPr>
        <w:t>there is</w:t>
      </w:r>
      <w:r w:rsidR="0075016C" w:rsidRPr="001D7023">
        <w:rPr>
          <w:rFonts w:ascii="Times New Roman" w:hAnsi="Times New Roman"/>
          <w:sz w:val="28"/>
          <w:szCs w:val="28"/>
          <w:lang w:eastAsia="en-GB"/>
        </w:rPr>
        <w:t xml:space="preserve"> no action before this Court and that the lower court has no power under section 11 of the Courts Act to transfer a matter to the High Court.</w:t>
      </w:r>
      <w:r w:rsidR="0075016C" w:rsidRPr="001D7023">
        <w:rPr>
          <w:rFonts w:ascii="Times New Roman" w:hAnsi="Times New Roman"/>
          <w:sz w:val="28"/>
          <w:szCs w:val="28"/>
        </w:rPr>
        <w:t xml:space="preserve"> I think that it might be helpful to quote the preliminary objections </w:t>
      </w:r>
      <w:r w:rsidR="00B55BD2" w:rsidRPr="001D7023">
        <w:rPr>
          <w:rFonts w:ascii="Times New Roman" w:hAnsi="Times New Roman"/>
          <w:sz w:val="28"/>
          <w:szCs w:val="28"/>
        </w:rPr>
        <w:t xml:space="preserve">in </w:t>
      </w:r>
      <w:r w:rsidR="0075016C" w:rsidRPr="001D7023">
        <w:rPr>
          <w:rFonts w:ascii="Times New Roman" w:hAnsi="Times New Roman"/>
          <w:sz w:val="28"/>
          <w:szCs w:val="28"/>
        </w:rPr>
        <w:t>full:</w:t>
      </w:r>
    </w:p>
    <w:p w:rsidR="00B55BD2" w:rsidRPr="001D7023" w:rsidRDefault="0075016C" w:rsidP="001D7023">
      <w:pPr>
        <w:spacing w:line="240" w:lineRule="auto"/>
        <w:ind w:left="720"/>
        <w:jc w:val="both"/>
        <w:rPr>
          <w:rFonts w:ascii="Times New Roman" w:hAnsi="Times New Roman"/>
          <w:i/>
          <w:sz w:val="24"/>
          <w:szCs w:val="24"/>
        </w:rPr>
      </w:pPr>
      <w:r w:rsidRPr="001D7023">
        <w:rPr>
          <w:rFonts w:ascii="Times New Roman" w:hAnsi="Times New Roman"/>
          <w:i/>
          <w:sz w:val="24"/>
          <w:szCs w:val="24"/>
        </w:rPr>
        <w:t xml:space="preserve">“…the application is misconceived as there is no action before the court. The respondent will argue that a summons is not one of the modes for commencing an action in the High Court </w:t>
      </w:r>
      <w:r w:rsidR="00B55BD2" w:rsidRPr="001D7023">
        <w:rPr>
          <w:rFonts w:ascii="Times New Roman" w:hAnsi="Times New Roman"/>
          <w:i/>
          <w:sz w:val="24"/>
          <w:szCs w:val="24"/>
        </w:rPr>
        <w:t>under the applicable rules of procedure or any other law.</w:t>
      </w:r>
    </w:p>
    <w:p w:rsidR="00B55BD2" w:rsidRPr="001D7023" w:rsidRDefault="00B55BD2" w:rsidP="001D7023">
      <w:pPr>
        <w:spacing w:line="240" w:lineRule="auto"/>
        <w:ind w:left="720"/>
        <w:jc w:val="both"/>
        <w:rPr>
          <w:rFonts w:ascii="Times New Roman" w:hAnsi="Times New Roman"/>
          <w:i/>
          <w:sz w:val="24"/>
          <w:szCs w:val="24"/>
        </w:rPr>
      </w:pPr>
      <w:r w:rsidRPr="001D7023">
        <w:rPr>
          <w:rFonts w:ascii="Times New Roman" w:hAnsi="Times New Roman"/>
          <w:i/>
          <w:sz w:val="24"/>
          <w:szCs w:val="24"/>
        </w:rPr>
        <w:t>The respondent will further argue that under section 11(vii) of the Courts Act, it is the High Court that has power to transfer proceedings from a Magistrate Court to the High Court. Therefore, the fact that the magistrate referred the issue of distribution of property to the High Court did not absolve the applicant from commencing an action for distribution of property in the High Court as the referral was not an order transferring the proceedings to the High Court.</w:t>
      </w:r>
      <w:r w:rsidR="0075016C" w:rsidRPr="001D7023">
        <w:rPr>
          <w:rFonts w:ascii="Times New Roman" w:hAnsi="Times New Roman"/>
          <w:i/>
          <w:sz w:val="24"/>
          <w:szCs w:val="24"/>
        </w:rPr>
        <w:t xml:space="preserve"> </w:t>
      </w:r>
      <w:r w:rsidRPr="001D7023">
        <w:rPr>
          <w:rFonts w:ascii="Times New Roman" w:hAnsi="Times New Roman"/>
          <w:i/>
          <w:sz w:val="24"/>
          <w:szCs w:val="24"/>
        </w:rPr>
        <w:t>The respondent will pray that the application be dismissed with costs”</w:t>
      </w:r>
    </w:p>
    <w:p w:rsidR="00824855" w:rsidRPr="001D7023" w:rsidRDefault="00B55BD2" w:rsidP="001D7023">
      <w:pPr>
        <w:spacing w:line="240" w:lineRule="auto"/>
        <w:jc w:val="both"/>
        <w:rPr>
          <w:rFonts w:ascii="Times New Roman" w:hAnsi="Times New Roman"/>
          <w:sz w:val="28"/>
          <w:szCs w:val="28"/>
        </w:rPr>
      </w:pPr>
      <w:r w:rsidRPr="001D7023">
        <w:rPr>
          <w:rFonts w:ascii="Times New Roman" w:hAnsi="Times New Roman"/>
          <w:sz w:val="28"/>
          <w:szCs w:val="28"/>
        </w:rPr>
        <w:t xml:space="preserve">Counsel </w:t>
      </w:r>
      <w:proofErr w:type="spellStart"/>
      <w:r w:rsidR="00824855" w:rsidRPr="001D7023">
        <w:rPr>
          <w:rFonts w:ascii="Times New Roman" w:hAnsi="Times New Roman"/>
          <w:sz w:val="28"/>
          <w:szCs w:val="28"/>
        </w:rPr>
        <w:t>Ulaya</w:t>
      </w:r>
      <w:proofErr w:type="spellEnd"/>
      <w:r w:rsidR="00824855" w:rsidRPr="001D7023">
        <w:rPr>
          <w:rFonts w:ascii="Times New Roman" w:hAnsi="Times New Roman"/>
          <w:sz w:val="28"/>
          <w:szCs w:val="28"/>
        </w:rPr>
        <w:t xml:space="preserve"> submitted that the Applicant should first of all have commenced an action in the High Court in the usual way. He likened the approach taken by the Applicant as being similar to bringing an application for an interlocutory injunction without there being a main action. With regard to the referral by the lower court, he contended that the lower court has no power to transfer a civil matter</w:t>
      </w:r>
      <w:r w:rsidR="00EE470B" w:rsidRPr="001D7023">
        <w:rPr>
          <w:rFonts w:ascii="Times New Roman" w:hAnsi="Times New Roman"/>
          <w:sz w:val="28"/>
          <w:szCs w:val="28"/>
        </w:rPr>
        <w:t xml:space="preserve"> from itself to the High Court</w:t>
      </w:r>
      <w:r w:rsidR="00824855" w:rsidRPr="001D7023">
        <w:rPr>
          <w:rFonts w:ascii="Times New Roman" w:hAnsi="Times New Roman"/>
          <w:sz w:val="28"/>
          <w:szCs w:val="28"/>
        </w:rPr>
        <w:t>.</w:t>
      </w:r>
    </w:p>
    <w:p w:rsidR="00B55BD2" w:rsidRPr="001D7023" w:rsidRDefault="00824855" w:rsidP="001D7023">
      <w:pPr>
        <w:spacing w:line="240" w:lineRule="auto"/>
        <w:jc w:val="both"/>
        <w:rPr>
          <w:rFonts w:ascii="Times New Roman" w:hAnsi="Times New Roman"/>
          <w:sz w:val="28"/>
          <w:szCs w:val="28"/>
        </w:rPr>
      </w:pPr>
      <w:r w:rsidRPr="001D7023">
        <w:rPr>
          <w:rFonts w:ascii="Times New Roman" w:hAnsi="Times New Roman"/>
          <w:sz w:val="28"/>
          <w:szCs w:val="28"/>
        </w:rPr>
        <w:t xml:space="preserve">In his response to the preliminary objections, Counsel Hara submitted that   </w:t>
      </w:r>
      <w:r w:rsidR="00505C99" w:rsidRPr="001D7023">
        <w:rPr>
          <w:rFonts w:ascii="Times New Roman" w:hAnsi="Times New Roman"/>
          <w:sz w:val="28"/>
          <w:szCs w:val="28"/>
        </w:rPr>
        <w:t>matters relating to distribution of matrimonial property have always been brought before the High Court as chamber application</w:t>
      </w:r>
      <w:r w:rsidR="00FF5F3D" w:rsidRPr="001D7023">
        <w:rPr>
          <w:rFonts w:ascii="Times New Roman" w:hAnsi="Times New Roman"/>
          <w:sz w:val="28"/>
          <w:szCs w:val="28"/>
        </w:rPr>
        <w:t>s</w:t>
      </w:r>
      <w:r w:rsidR="00505C99" w:rsidRPr="001D7023">
        <w:rPr>
          <w:rFonts w:ascii="Times New Roman" w:hAnsi="Times New Roman"/>
          <w:sz w:val="28"/>
          <w:szCs w:val="28"/>
        </w:rPr>
        <w:t>. He cited section 17 of the Married Women’s Property Act 1882, section 4 of the Divorce Act</w:t>
      </w:r>
      <w:r w:rsidR="00BD2A24" w:rsidRPr="001D7023">
        <w:rPr>
          <w:rFonts w:ascii="Times New Roman" w:hAnsi="Times New Roman"/>
          <w:sz w:val="28"/>
          <w:szCs w:val="28"/>
        </w:rPr>
        <w:t xml:space="preserve">, </w:t>
      </w:r>
      <w:r w:rsidR="00BD2A24" w:rsidRPr="001D7023">
        <w:rPr>
          <w:rFonts w:ascii="Times New Roman" w:hAnsi="Times New Roman"/>
          <w:b/>
          <w:sz w:val="28"/>
          <w:szCs w:val="28"/>
        </w:rPr>
        <w:t>Abele</w:t>
      </w:r>
      <w:r w:rsidR="00505C99" w:rsidRPr="001D7023">
        <w:rPr>
          <w:rFonts w:ascii="Times New Roman" w:hAnsi="Times New Roman"/>
          <w:b/>
          <w:sz w:val="28"/>
          <w:szCs w:val="28"/>
        </w:rPr>
        <w:t>s v</w:t>
      </w:r>
      <w:r w:rsidR="00BD2A24" w:rsidRPr="001D7023">
        <w:rPr>
          <w:rFonts w:ascii="Times New Roman" w:hAnsi="Times New Roman"/>
          <w:b/>
          <w:sz w:val="28"/>
          <w:szCs w:val="28"/>
        </w:rPr>
        <w:t>.</w:t>
      </w:r>
      <w:r w:rsidR="00505C99" w:rsidRPr="001D7023">
        <w:rPr>
          <w:rFonts w:ascii="Times New Roman" w:hAnsi="Times New Roman"/>
          <w:b/>
          <w:sz w:val="28"/>
          <w:szCs w:val="28"/>
        </w:rPr>
        <w:t xml:space="preserve"> Abel</w:t>
      </w:r>
      <w:r w:rsidR="00BD2A24" w:rsidRPr="001D7023">
        <w:rPr>
          <w:rFonts w:ascii="Times New Roman" w:hAnsi="Times New Roman"/>
          <w:b/>
          <w:sz w:val="28"/>
          <w:szCs w:val="28"/>
        </w:rPr>
        <w:t>es</w:t>
      </w:r>
      <w:r w:rsidR="00505C99" w:rsidRPr="001D7023">
        <w:rPr>
          <w:rFonts w:ascii="Times New Roman" w:hAnsi="Times New Roman"/>
          <w:b/>
          <w:sz w:val="28"/>
          <w:szCs w:val="28"/>
        </w:rPr>
        <w:t xml:space="preserve"> </w:t>
      </w:r>
      <w:r w:rsidR="00BD2A24" w:rsidRPr="001D7023">
        <w:rPr>
          <w:rFonts w:ascii="Times New Roman" w:hAnsi="Times New Roman"/>
          <w:b/>
          <w:sz w:val="28"/>
          <w:szCs w:val="28"/>
        </w:rPr>
        <w:t xml:space="preserve">(1990) </w:t>
      </w:r>
      <w:r w:rsidR="00505C99" w:rsidRPr="001D7023">
        <w:rPr>
          <w:rFonts w:ascii="Times New Roman" w:hAnsi="Times New Roman"/>
          <w:b/>
          <w:sz w:val="28"/>
          <w:szCs w:val="28"/>
        </w:rPr>
        <w:t xml:space="preserve">13 MLR </w:t>
      </w:r>
      <w:r w:rsidR="00001117" w:rsidRPr="001D7023">
        <w:rPr>
          <w:rFonts w:ascii="Times New Roman" w:hAnsi="Times New Roman"/>
          <w:b/>
          <w:sz w:val="28"/>
          <w:szCs w:val="28"/>
        </w:rPr>
        <w:t>1</w:t>
      </w:r>
      <w:r w:rsidR="00505C99" w:rsidRPr="001D7023">
        <w:rPr>
          <w:rFonts w:ascii="Times New Roman" w:hAnsi="Times New Roman"/>
          <w:sz w:val="28"/>
          <w:szCs w:val="28"/>
        </w:rPr>
        <w:t xml:space="preserve"> and </w:t>
      </w:r>
      <w:proofErr w:type="spellStart"/>
      <w:r w:rsidR="00505C99" w:rsidRPr="001D7023">
        <w:rPr>
          <w:rFonts w:ascii="Times New Roman" w:hAnsi="Times New Roman"/>
          <w:b/>
          <w:sz w:val="28"/>
          <w:szCs w:val="28"/>
        </w:rPr>
        <w:t>Kayambo</w:t>
      </w:r>
      <w:proofErr w:type="spellEnd"/>
      <w:r w:rsidR="00505C99" w:rsidRPr="001D7023">
        <w:rPr>
          <w:rFonts w:ascii="Times New Roman" w:hAnsi="Times New Roman"/>
          <w:b/>
          <w:sz w:val="28"/>
          <w:szCs w:val="28"/>
        </w:rPr>
        <w:t xml:space="preserve"> v. </w:t>
      </w:r>
      <w:proofErr w:type="spellStart"/>
      <w:r w:rsidR="00505C99" w:rsidRPr="001D7023">
        <w:rPr>
          <w:rFonts w:ascii="Times New Roman" w:hAnsi="Times New Roman"/>
          <w:b/>
          <w:sz w:val="28"/>
          <w:szCs w:val="28"/>
        </w:rPr>
        <w:t>Kayambo</w:t>
      </w:r>
      <w:proofErr w:type="spellEnd"/>
      <w:r w:rsidR="00505C99" w:rsidRPr="001D7023">
        <w:rPr>
          <w:rFonts w:ascii="Times New Roman" w:hAnsi="Times New Roman"/>
          <w:b/>
          <w:sz w:val="28"/>
          <w:szCs w:val="28"/>
        </w:rPr>
        <w:t xml:space="preserve"> </w:t>
      </w:r>
      <w:r w:rsidR="00BD2A24" w:rsidRPr="001D7023">
        <w:rPr>
          <w:rFonts w:ascii="Times New Roman" w:hAnsi="Times New Roman"/>
          <w:b/>
          <w:sz w:val="28"/>
          <w:szCs w:val="28"/>
        </w:rPr>
        <w:t>(1987-89) 12 MLR 408</w:t>
      </w:r>
      <w:r w:rsidR="00BD2A24" w:rsidRPr="001D7023">
        <w:rPr>
          <w:rFonts w:ascii="Times New Roman" w:hAnsi="Times New Roman"/>
          <w:sz w:val="28"/>
          <w:szCs w:val="28"/>
        </w:rPr>
        <w:t xml:space="preserve"> </w:t>
      </w:r>
      <w:r w:rsidR="00505C99" w:rsidRPr="001D7023">
        <w:rPr>
          <w:rFonts w:ascii="Times New Roman" w:hAnsi="Times New Roman"/>
          <w:sz w:val="28"/>
          <w:szCs w:val="28"/>
        </w:rPr>
        <w:t>to buttress  his submission</w:t>
      </w:r>
      <w:r w:rsidR="00BD2A24" w:rsidRPr="001D7023">
        <w:rPr>
          <w:rFonts w:ascii="Times New Roman" w:hAnsi="Times New Roman"/>
          <w:sz w:val="28"/>
          <w:szCs w:val="28"/>
        </w:rPr>
        <w:t>.</w:t>
      </w:r>
    </w:p>
    <w:p w:rsidR="005C42A7" w:rsidRPr="001D7023" w:rsidRDefault="005C42A7" w:rsidP="001D7023">
      <w:pPr>
        <w:spacing w:line="240" w:lineRule="auto"/>
        <w:jc w:val="both"/>
        <w:rPr>
          <w:rFonts w:ascii="Times New Roman" w:hAnsi="Times New Roman"/>
          <w:sz w:val="28"/>
          <w:szCs w:val="28"/>
        </w:rPr>
      </w:pPr>
      <w:r w:rsidRPr="001D7023">
        <w:rPr>
          <w:rFonts w:ascii="Times New Roman" w:hAnsi="Times New Roman"/>
          <w:sz w:val="28"/>
          <w:szCs w:val="28"/>
        </w:rPr>
        <w:t>Section 17 of the Married Women’s Property Act is in the following terms:</w:t>
      </w:r>
    </w:p>
    <w:p w:rsidR="005C42A7" w:rsidRDefault="005C42A7" w:rsidP="007C69D7">
      <w:pPr>
        <w:spacing w:line="240" w:lineRule="auto"/>
        <w:ind w:left="720"/>
        <w:jc w:val="both"/>
        <w:rPr>
          <w:rFonts w:ascii="Times New Roman" w:hAnsi="Times New Roman"/>
          <w:i/>
          <w:sz w:val="24"/>
          <w:szCs w:val="24"/>
        </w:rPr>
      </w:pPr>
      <w:r w:rsidRPr="007C69D7">
        <w:rPr>
          <w:rFonts w:ascii="Times New Roman" w:hAnsi="Times New Roman"/>
          <w:i/>
          <w:sz w:val="24"/>
          <w:szCs w:val="24"/>
        </w:rPr>
        <w:t xml:space="preserve">“In any question between husband and wife as to the title to or possession of property, either party … may apply by summons or otherwise in a summary way to any judge of the </w:t>
      </w:r>
      <w:r w:rsidRPr="007C69D7">
        <w:rPr>
          <w:rFonts w:ascii="Times New Roman" w:hAnsi="Times New Roman"/>
          <w:i/>
          <w:sz w:val="24"/>
          <w:szCs w:val="24"/>
        </w:rPr>
        <w:lastRenderedPageBreak/>
        <w:t>High Court o</w:t>
      </w:r>
      <w:r w:rsidR="000D3D19" w:rsidRPr="007C69D7">
        <w:rPr>
          <w:rFonts w:ascii="Times New Roman" w:hAnsi="Times New Roman"/>
          <w:i/>
          <w:sz w:val="24"/>
          <w:szCs w:val="24"/>
        </w:rPr>
        <w:t>f</w:t>
      </w:r>
      <w:r w:rsidRPr="007C69D7">
        <w:rPr>
          <w:rFonts w:ascii="Times New Roman" w:hAnsi="Times New Roman"/>
          <w:i/>
          <w:sz w:val="24"/>
          <w:szCs w:val="24"/>
        </w:rPr>
        <w:t xml:space="preserve"> Justice in England or Ireland who may make such order with respect to the property in dispute and as to the costs of and consequent on the application, as he thinks fit …: </w:t>
      </w:r>
    </w:p>
    <w:p w:rsidR="007C69D7" w:rsidRPr="007C69D7" w:rsidRDefault="007C69D7" w:rsidP="007C69D7">
      <w:pPr>
        <w:spacing w:line="240" w:lineRule="auto"/>
        <w:ind w:left="720"/>
        <w:jc w:val="both"/>
        <w:rPr>
          <w:rFonts w:ascii="Times New Roman" w:hAnsi="Times New Roman"/>
          <w:i/>
          <w:sz w:val="24"/>
          <w:szCs w:val="24"/>
        </w:rPr>
      </w:pPr>
    </w:p>
    <w:p w:rsidR="00AB0E2A" w:rsidRPr="001D7023" w:rsidRDefault="002F4C4D" w:rsidP="001D7023">
      <w:pPr>
        <w:spacing w:after="0" w:line="240" w:lineRule="auto"/>
        <w:jc w:val="both"/>
        <w:rPr>
          <w:rFonts w:ascii="Times New Roman" w:hAnsi="Times New Roman"/>
          <w:sz w:val="28"/>
          <w:szCs w:val="28"/>
        </w:rPr>
      </w:pPr>
      <w:r w:rsidRPr="001D7023">
        <w:rPr>
          <w:rFonts w:ascii="Times New Roman" w:hAnsi="Times New Roman"/>
          <w:sz w:val="28"/>
          <w:szCs w:val="28"/>
        </w:rPr>
        <w:t xml:space="preserve">It would appear Counsel Hara cited </w:t>
      </w:r>
      <w:r w:rsidRPr="001D7023">
        <w:rPr>
          <w:rFonts w:ascii="Times New Roman" w:hAnsi="Times New Roman"/>
          <w:b/>
          <w:sz w:val="28"/>
          <w:szCs w:val="28"/>
        </w:rPr>
        <w:t>Abeles v. Abeles</w:t>
      </w:r>
      <w:r w:rsidRPr="001D7023">
        <w:rPr>
          <w:rFonts w:ascii="Times New Roman" w:hAnsi="Times New Roman"/>
          <w:sz w:val="28"/>
          <w:szCs w:val="28"/>
        </w:rPr>
        <w:t xml:space="preserve">, supra, for the holding therein by </w:t>
      </w:r>
      <w:proofErr w:type="spellStart"/>
      <w:r w:rsidRPr="001D7023">
        <w:rPr>
          <w:rFonts w:ascii="Times New Roman" w:hAnsi="Times New Roman"/>
          <w:sz w:val="28"/>
          <w:szCs w:val="28"/>
        </w:rPr>
        <w:t>Makuta</w:t>
      </w:r>
      <w:proofErr w:type="spellEnd"/>
      <w:r w:rsidRPr="001D7023">
        <w:rPr>
          <w:rFonts w:ascii="Times New Roman" w:hAnsi="Times New Roman"/>
          <w:sz w:val="28"/>
          <w:szCs w:val="28"/>
        </w:rPr>
        <w:t xml:space="preserve"> CJ, as he then was, that the Married Women’s Property Act “</w:t>
      </w:r>
      <w:r w:rsidRPr="007C69D7">
        <w:rPr>
          <w:rFonts w:ascii="Times New Roman" w:hAnsi="Times New Roman"/>
          <w:i/>
          <w:sz w:val="28"/>
          <w:szCs w:val="28"/>
        </w:rPr>
        <w:t>is an Act of general application and it applies to this country by virtue of section 4 of the Divorce Act, Cap</w:t>
      </w:r>
      <w:r w:rsidR="00AB0E2A" w:rsidRPr="007C69D7">
        <w:rPr>
          <w:rFonts w:ascii="Times New Roman" w:hAnsi="Times New Roman"/>
          <w:i/>
          <w:sz w:val="28"/>
          <w:szCs w:val="28"/>
        </w:rPr>
        <w:t xml:space="preserve"> </w:t>
      </w:r>
      <w:r w:rsidRPr="007C69D7">
        <w:rPr>
          <w:rFonts w:ascii="Times New Roman" w:hAnsi="Times New Roman"/>
          <w:i/>
          <w:sz w:val="28"/>
          <w:szCs w:val="28"/>
        </w:rPr>
        <w:t>25:04 of the Laws of Malawi</w:t>
      </w:r>
      <w:r w:rsidRPr="001D7023">
        <w:rPr>
          <w:rFonts w:ascii="Times New Roman" w:hAnsi="Times New Roman"/>
          <w:sz w:val="28"/>
          <w:szCs w:val="28"/>
        </w:rPr>
        <w:t>”.</w:t>
      </w:r>
      <w:r w:rsidR="00AB0E2A" w:rsidRPr="001D7023">
        <w:rPr>
          <w:rFonts w:ascii="Times New Roman" w:hAnsi="Times New Roman"/>
          <w:sz w:val="28"/>
          <w:szCs w:val="28"/>
        </w:rPr>
        <w:t xml:space="preserve"> Section 4 of the Divorce Act read:</w:t>
      </w:r>
    </w:p>
    <w:p w:rsidR="00AB0E2A" w:rsidRPr="007C69D7" w:rsidRDefault="00AB0E2A" w:rsidP="001D7023">
      <w:pPr>
        <w:spacing w:after="0" w:line="240" w:lineRule="auto"/>
        <w:jc w:val="both"/>
        <w:rPr>
          <w:rFonts w:ascii="Times New Roman" w:hAnsi="Times New Roman"/>
          <w:i/>
          <w:sz w:val="24"/>
          <w:szCs w:val="24"/>
        </w:rPr>
      </w:pPr>
    </w:p>
    <w:p w:rsidR="000D3D19" w:rsidRPr="007C69D7" w:rsidRDefault="00AB0E2A" w:rsidP="001D7023">
      <w:pPr>
        <w:spacing w:after="0" w:line="240" w:lineRule="auto"/>
        <w:ind w:left="720"/>
        <w:jc w:val="both"/>
        <w:rPr>
          <w:rFonts w:ascii="Times New Roman" w:eastAsia="Times New Roman" w:hAnsi="Times New Roman"/>
          <w:i/>
          <w:sz w:val="24"/>
          <w:szCs w:val="24"/>
        </w:rPr>
      </w:pPr>
      <w:r w:rsidRPr="007C69D7">
        <w:rPr>
          <w:rFonts w:ascii="Times New Roman" w:eastAsia="Times New Roman" w:hAnsi="Times New Roman"/>
          <w:i/>
          <w:sz w:val="24"/>
          <w:szCs w:val="24"/>
        </w:rPr>
        <w:t>“</w:t>
      </w:r>
      <w:r w:rsidRPr="00AB0E2A">
        <w:rPr>
          <w:rFonts w:ascii="Times New Roman" w:eastAsia="Times New Roman" w:hAnsi="Times New Roman"/>
          <w:i/>
          <w:sz w:val="24"/>
          <w:szCs w:val="24"/>
        </w:rPr>
        <w:t>Jurisdiction under this Act shall only be exercised by</w:t>
      </w:r>
      <w:r w:rsidRPr="007C69D7">
        <w:rPr>
          <w:rFonts w:ascii="Times New Roman" w:eastAsia="Times New Roman" w:hAnsi="Times New Roman"/>
          <w:i/>
          <w:sz w:val="24"/>
          <w:szCs w:val="24"/>
        </w:rPr>
        <w:t xml:space="preserve"> </w:t>
      </w:r>
      <w:r w:rsidRPr="00AB0E2A">
        <w:rPr>
          <w:rFonts w:ascii="Times New Roman" w:eastAsia="Times New Roman" w:hAnsi="Times New Roman"/>
          <w:i/>
          <w:sz w:val="24"/>
          <w:szCs w:val="24"/>
        </w:rPr>
        <w:t xml:space="preserve">the High Court (hereinafter called the Court), and such jurisdiction shall, subject to this Act, be exercised in accordance with the law applied in matrimonial proceedings in the High Court of Justice </w:t>
      </w:r>
      <w:r w:rsidR="000D3D19" w:rsidRPr="007C69D7">
        <w:rPr>
          <w:rFonts w:ascii="Times New Roman" w:eastAsia="Times New Roman" w:hAnsi="Times New Roman"/>
          <w:i/>
          <w:sz w:val="24"/>
          <w:szCs w:val="24"/>
        </w:rPr>
        <w:t>in England”</w:t>
      </w:r>
    </w:p>
    <w:p w:rsidR="000D3D19" w:rsidRPr="001D7023" w:rsidRDefault="000D3D19" w:rsidP="001D7023">
      <w:pPr>
        <w:spacing w:after="0" w:line="240" w:lineRule="auto"/>
        <w:jc w:val="both"/>
        <w:rPr>
          <w:rFonts w:ascii="Times New Roman" w:eastAsia="Times New Roman" w:hAnsi="Times New Roman"/>
          <w:sz w:val="28"/>
          <w:szCs w:val="28"/>
        </w:rPr>
      </w:pPr>
    </w:p>
    <w:p w:rsidR="005725D8" w:rsidRPr="001D7023" w:rsidRDefault="000D3D19" w:rsidP="001D7023">
      <w:pPr>
        <w:spacing w:after="0" w:line="240" w:lineRule="auto"/>
        <w:jc w:val="both"/>
        <w:rPr>
          <w:rFonts w:ascii="Times New Roman" w:eastAsia="Times New Roman" w:hAnsi="Times New Roman"/>
          <w:sz w:val="28"/>
          <w:szCs w:val="28"/>
        </w:rPr>
      </w:pPr>
      <w:r w:rsidRPr="001D7023">
        <w:rPr>
          <w:rFonts w:ascii="Times New Roman" w:eastAsia="Times New Roman" w:hAnsi="Times New Roman"/>
          <w:sz w:val="28"/>
          <w:szCs w:val="28"/>
        </w:rPr>
        <w:t xml:space="preserve">I momentarily pause to observe that the </w:t>
      </w:r>
      <w:r w:rsidR="009C4860" w:rsidRPr="001D7023">
        <w:rPr>
          <w:rFonts w:ascii="Times New Roman" w:eastAsia="Times New Roman" w:hAnsi="Times New Roman"/>
          <w:sz w:val="28"/>
          <w:szCs w:val="28"/>
        </w:rPr>
        <w:t xml:space="preserve">procedure laid down in the </w:t>
      </w:r>
      <w:r w:rsidR="009C4860" w:rsidRPr="001D7023">
        <w:rPr>
          <w:rFonts w:ascii="Times New Roman" w:hAnsi="Times New Roman"/>
          <w:sz w:val="28"/>
          <w:szCs w:val="28"/>
        </w:rPr>
        <w:t>section 17 of the Married Women’s Property Act</w:t>
      </w:r>
      <w:r w:rsidR="009C4860" w:rsidRPr="001D7023">
        <w:rPr>
          <w:rFonts w:ascii="Times New Roman" w:eastAsia="Times New Roman" w:hAnsi="Times New Roman"/>
          <w:sz w:val="28"/>
          <w:szCs w:val="28"/>
        </w:rPr>
        <w:t xml:space="preserve"> </w:t>
      </w:r>
      <w:r w:rsidR="009C4860" w:rsidRPr="001D7023">
        <w:rPr>
          <w:rFonts w:ascii="Times New Roman" w:hAnsi="Times New Roman"/>
          <w:sz w:val="28"/>
          <w:szCs w:val="28"/>
        </w:rPr>
        <w:t xml:space="preserve">was being applied in Malawi </w:t>
      </w:r>
      <w:r w:rsidR="009C4860" w:rsidRPr="001D7023">
        <w:rPr>
          <w:rFonts w:ascii="Times New Roman" w:eastAsia="Times New Roman" w:hAnsi="Times New Roman"/>
          <w:sz w:val="28"/>
          <w:szCs w:val="28"/>
        </w:rPr>
        <w:t xml:space="preserve">pursuant to </w:t>
      </w:r>
      <w:r w:rsidR="00127CBC" w:rsidRPr="001D7023">
        <w:rPr>
          <w:rFonts w:ascii="Times New Roman" w:eastAsia="Times New Roman" w:hAnsi="Times New Roman"/>
          <w:sz w:val="28"/>
          <w:szCs w:val="28"/>
        </w:rPr>
        <w:t>section 4 of the Divorce Act</w:t>
      </w:r>
      <w:r w:rsidR="009C4860" w:rsidRPr="001D7023">
        <w:rPr>
          <w:rFonts w:ascii="Times New Roman" w:eastAsia="Times New Roman" w:hAnsi="Times New Roman"/>
          <w:sz w:val="28"/>
          <w:szCs w:val="28"/>
        </w:rPr>
        <w:t>. S</w:t>
      </w:r>
      <w:r w:rsidR="00127CBC" w:rsidRPr="001D7023">
        <w:rPr>
          <w:rFonts w:ascii="Times New Roman" w:eastAsia="Times New Roman" w:hAnsi="Times New Roman"/>
          <w:sz w:val="28"/>
          <w:szCs w:val="28"/>
        </w:rPr>
        <w:t>ection 114 of the Marriage, Divorce and Family Relations Act 1915</w:t>
      </w:r>
      <w:r w:rsidR="009C4860" w:rsidRPr="001D7023">
        <w:rPr>
          <w:rFonts w:ascii="Times New Roman" w:eastAsia="Times New Roman" w:hAnsi="Times New Roman"/>
          <w:sz w:val="28"/>
          <w:szCs w:val="28"/>
        </w:rPr>
        <w:t xml:space="preserve"> has since repealed the Divorce Act, thereby severing </w:t>
      </w:r>
      <w:r w:rsidR="007C69D7">
        <w:rPr>
          <w:rFonts w:ascii="Times New Roman" w:eastAsia="Times New Roman" w:hAnsi="Times New Roman"/>
          <w:sz w:val="28"/>
          <w:szCs w:val="28"/>
        </w:rPr>
        <w:t>the umbi</w:t>
      </w:r>
      <w:r w:rsidR="007C69D7" w:rsidRPr="001D7023">
        <w:rPr>
          <w:rFonts w:ascii="Times New Roman" w:eastAsia="Times New Roman" w:hAnsi="Times New Roman"/>
          <w:sz w:val="28"/>
          <w:szCs w:val="28"/>
        </w:rPr>
        <w:t>lical</w:t>
      </w:r>
      <w:r w:rsidR="009C4860" w:rsidRPr="001D7023">
        <w:rPr>
          <w:rFonts w:ascii="Times New Roman" w:eastAsia="Times New Roman" w:hAnsi="Times New Roman"/>
          <w:sz w:val="28"/>
          <w:szCs w:val="28"/>
        </w:rPr>
        <w:t xml:space="preserve"> cord that enabled </w:t>
      </w:r>
      <w:r w:rsidR="001865BD" w:rsidRPr="001D7023">
        <w:rPr>
          <w:rFonts w:ascii="Times New Roman" w:eastAsia="Times New Roman" w:hAnsi="Times New Roman"/>
          <w:sz w:val="28"/>
          <w:szCs w:val="28"/>
        </w:rPr>
        <w:t xml:space="preserve">the High Court, through </w:t>
      </w:r>
      <w:r w:rsidR="009C4860" w:rsidRPr="001D7023">
        <w:rPr>
          <w:rFonts w:ascii="Times New Roman" w:eastAsia="Times New Roman" w:hAnsi="Times New Roman"/>
          <w:sz w:val="28"/>
          <w:szCs w:val="28"/>
        </w:rPr>
        <w:t>section 17 of the Married Women’s Property Act</w:t>
      </w:r>
      <w:r w:rsidR="001865BD" w:rsidRPr="001D7023">
        <w:rPr>
          <w:rFonts w:ascii="Times New Roman" w:eastAsia="Times New Roman" w:hAnsi="Times New Roman"/>
          <w:sz w:val="28"/>
          <w:szCs w:val="28"/>
        </w:rPr>
        <w:t xml:space="preserve">, </w:t>
      </w:r>
      <w:r w:rsidR="009C4860" w:rsidRPr="001D7023">
        <w:rPr>
          <w:rFonts w:ascii="Times New Roman" w:eastAsia="Times New Roman" w:hAnsi="Times New Roman"/>
          <w:sz w:val="28"/>
          <w:szCs w:val="28"/>
        </w:rPr>
        <w:t xml:space="preserve">to </w:t>
      </w:r>
      <w:r w:rsidR="001865BD" w:rsidRPr="001D7023">
        <w:rPr>
          <w:rFonts w:ascii="Times New Roman" w:eastAsia="Times New Roman" w:hAnsi="Times New Roman"/>
          <w:sz w:val="28"/>
          <w:szCs w:val="28"/>
        </w:rPr>
        <w:t>decide in a summary manner as to the title or possession of “former” matrimonial property.</w:t>
      </w:r>
      <w:r w:rsidR="00127CBC" w:rsidRPr="001D7023">
        <w:rPr>
          <w:rFonts w:ascii="Times New Roman" w:eastAsia="Times New Roman" w:hAnsi="Times New Roman"/>
          <w:sz w:val="28"/>
          <w:szCs w:val="28"/>
        </w:rPr>
        <w:t xml:space="preserve"> In the premises </w:t>
      </w:r>
      <w:r w:rsidR="00127CBC" w:rsidRPr="001D7023">
        <w:rPr>
          <w:rFonts w:ascii="Times New Roman" w:eastAsia="Times New Roman" w:hAnsi="Times New Roman"/>
          <w:b/>
          <w:sz w:val="28"/>
          <w:szCs w:val="28"/>
        </w:rPr>
        <w:t>Abeles v. Abeles</w:t>
      </w:r>
      <w:r w:rsidR="005725D8" w:rsidRPr="001D7023">
        <w:rPr>
          <w:rFonts w:ascii="Times New Roman" w:eastAsia="Times New Roman" w:hAnsi="Times New Roman"/>
          <w:sz w:val="28"/>
          <w:szCs w:val="28"/>
        </w:rPr>
        <w:t xml:space="preserve"> </w:t>
      </w:r>
      <w:r w:rsidR="001865BD" w:rsidRPr="001D7023">
        <w:rPr>
          <w:rFonts w:ascii="Times New Roman" w:eastAsia="Times New Roman" w:hAnsi="Times New Roman"/>
          <w:sz w:val="28"/>
          <w:szCs w:val="28"/>
        </w:rPr>
        <w:t xml:space="preserve">and similar cases such as </w:t>
      </w:r>
      <w:proofErr w:type="spellStart"/>
      <w:r w:rsidR="001865BD" w:rsidRPr="001D7023">
        <w:rPr>
          <w:rFonts w:ascii="Times New Roman" w:eastAsia="Times New Roman" w:hAnsi="Times New Roman"/>
          <w:b/>
          <w:sz w:val="28"/>
          <w:szCs w:val="28"/>
        </w:rPr>
        <w:t>Malinki</w:t>
      </w:r>
      <w:proofErr w:type="spellEnd"/>
      <w:r w:rsidR="001865BD" w:rsidRPr="001D7023">
        <w:rPr>
          <w:rFonts w:ascii="Times New Roman" w:eastAsia="Times New Roman" w:hAnsi="Times New Roman"/>
          <w:b/>
          <w:sz w:val="28"/>
          <w:szCs w:val="28"/>
        </w:rPr>
        <w:t xml:space="preserve"> v. </w:t>
      </w:r>
      <w:proofErr w:type="spellStart"/>
      <w:r w:rsidR="001865BD" w:rsidRPr="001D7023">
        <w:rPr>
          <w:rFonts w:ascii="Times New Roman" w:eastAsia="Times New Roman" w:hAnsi="Times New Roman"/>
          <w:b/>
          <w:sz w:val="28"/>
          <w:szCs w:val="28"/>
        </w:rPr>
        <w:t>Malinki</w:t>
      </w:r>
      <w:proofErr w:type="spellEnd"/>
      <w:r w:rsidR="001865BD" w:rsidRPr="001D7023">
        <w:rPr>
          <w:rFonts w:ascii="Times New Roman" w:eastAsia="Times New Roman" w:hAnsi="Times New Roman"/>
          <w:b/>
          <w:sz w:val="28"/>
          <w:szCs w:val="28"/>
        </w:rPr>
        <w:t xml:space="preserve"> 9 MLR 441(HC)</w:t>
      </w:r>
      <w:r w:rsidR="001865BD" w:rsidRPr="001D7023">
        <w:rPr>
          <w:rFonts w:ascii="Times New Roman" w:eastAsia="Times New Roman" w:hAnsi="Times New Roman"/>
          <w:sz w:val="28"/>
          <w:szCs w:val="28"/>
        </w:rPr>
        <w:t xml:space="preserve">, </w:t>
      </w:r>
      <w:proofErr w:type="spellStart"/>
      <w:r w:rsidR="001865BD" w:rsidRPr="001D7023">
        <w:rPr>
          <w:rFonts w:ascii="Times New Roman" w:eastAsia="Times New Roman" w:hAnsi="Times New Roman"/>
          <w:b/>
          <w:sz w:val="28"/>
          <w:szCs w:val="28"/>
        </w:rPr>
        <w:t>Kayambo</w:t>
      </w:r>
      <w:proofErr w:type="spellEnd"/>
      <w:r w:rsidR="001865BD" w:rsidRPr="001D7023">
        <w:rPr>
          <w:rFonts w:ascii="Times New Roman" w:eastAsia="Times New Roman" w:hAnsi="Times New Roman"/>
          <w:b/>
          <w:sz w:val="28"/>
          <w:szCs w:val="28"/>
        </w:rPr>
        <w:t xml:space="preserve"> v. </w:t>
      </w:r>
      <w:proofErr w:type="spellStart"/>
      <w:r w:rsidR="001865BD" w:rsidRPr="001D7023">
        <w:rPr>
          <w:rFonts w:ascii="Times New Roman" w:eastAsia="Times New Roman" w:hAnsi="Times New Roman"/>
          <w:b/>
          <w:sz w:val="28"/>
          <w:szCs w:val="28"/>
        </w:rPr>
        <w:t>Kayambo</w:t>
      </w:r>
      <w:proofErr w:type="spellEnd"/>
      <w:r w:rsidR="001865BD" w:rsidRPr="001D7023">
        <w:rPr>
          <w:rFonts w:ascii="Times New Roman" w:eastAsia="Times New Roman" w:hAnsi="Times New Roman"/>
          <w:b/>
          <w:sz w:val="28"/>
          <w:szCs w:val="28"/>
        </w:rPr>
        <w:t xml:space="preserve"> 12 MLR 408 (SCA)</w:t>
      </w:r>
      <w:r w:rsidR="001865BD" w:rsidRPr="001D7023">
        <w:rPr>
          <w:rFonts w:ascii="Times New Roman" w:eastAsia="Times New Roman" w:hAnsi="Times New Roman"/>
          <w:sz w:val="28"/>
          <w:szCs w:val="28"/>
        </w:rPr>
        <w:t xml:space="preserve">, </w:t>
      </w:r>
      <w:proofErr w:type="spellStart"/>
      <w:r w:rsidR="001865BD" w:rsidRPr="001D7023">
        <w:rPr>
          <w:rFonts w:ascii="Times New Roman" w:eastAsia="Times New Roman" w:hAnsi="Times New Roman"/>
          <w:b/>
          <w:sz w:val="28"/>
          <w:szCs w:val="28"/>
        </w:rPr>
        <w:t>Kamphoni</w:t>
      </w:r>
      <w:proofErr w:type="spellEnd"/>
      <w:r w:rsidR="001865BD" w:rsidRPr="001D7023">
        <w:rPr>
          <w:rFonts w:ascii="Times New Roman" w:eastAsia="Times New Roman" w:hAnsi="Times New Roman"/>
          <w:b/>
          <w:sz w:val="28"/>
          <w:szCs w:val="28"/>
        </w:rPr>
        <w:t xml:space="preserve"> v. </w:t>
      </w:r>
      <w:proofErr w:type="spellStart"/>
      <w:r w:rsidR="001865BD" w:rsidRPr="001D7023">
        <w:rPr>
          <w:rFonts w:ascii="Times New Roman" w:eastAsia="Times New Roman" w:hAnsi="Times New Roman"/>
          <w:b/>
          <w:sz w:val="28"/>
          <w:szCs w:val="28"/>
        </w:rPr>
        <w:t>Kamphoni</w:t>
      </w:r>
      <w:proofErr w:type="spellEnd"/>
      <w:r w:rsidR="001865BD" w:rsidRPr="001D7023">
        <w:rPr>
          <w:rFonts w:ascii="Times New Roman" w:eastAsia="Times New Roman" w:hAnsi="Times New Roman"/>
          <w:b/>
          <w:sz w:val="28"/>
          <w:szCs w:val="28"/>
        </w:rPr>
        <w:t>, Matrimonial Cause No. 7 of 2012 (unreported)</w:t>
      </w:r>
      <w:r w:rsidR="001865BD" w:rsidRPr="001D7023">
        <w:rPr>
          <w:rFonts w:ascii="Times New Roman" w:eastAsia="Times New Roman" w:hAnsi="Times New Roman"/>
          <w:sz w:val="28"/>
          <w:szCs w:val="28"/>
        </w:rPr>
        <w:t xml:space="preserve"> do</w:t>
      </w:r>
      <w:r w:rsidR="005725D8" w:rsidRPr="001D7023">
        <w:rPr>
          <w:rFonts w:ascii="Times New Roman" w:eastAsia="Times New Roman" w:hAnsi="Times New Roman"/>
          <w:sz w:val="28"/>
          <w:szCs w:val="28"/>
        </w:rPr>
        <w:t xml:space="preserve"> not appear to</w:t>
      </w:r>
      <w:r w:rsidR="001865BD" w:rsidRPr="001D7023">
        <w:rPr>
          <w:rFonts w:ascii="Times New Roman" w:eastAsia="Times New Roman" w:hAnsi="Times New Roman"/>
          <w:sz w:val="28"/>
          <w:szCs w:val="28"/>
        </w:rPr>
        <w:t xml:space="preserve"> be any longer </w:t>
      </w:r>
      <w:r w:rsidR="005725D8" w:rsidRPr="001D7023">
        <w:rPr>
          <w:rFonts w:ascii="Times New Roman" w:eastAsia="Times New Roman" w:hAnsi="Times New Roman"/>
          <w:sz w:val="28"/>
          <w:szCs w:val="28"/>
        </w:rPr>
        <w:t>good authority on the question under consideration</w:t>
      </w:r>
      <w:r w:rsidR="00EC00EC" w:rsidRPr="001D7023">
        <w:rPr>
          <w:rFonts w:ascii="Times New Roman" w:eastAsia="Times New Roman" w:hAnsi="Times New Roman"/>
          <w:sz w:val="28"/>
          <w:szCs w:val="28"/>
        </w:rPr>
        <w:t>, that is, mode of commencing an application for distribution of matrimonial property</w:t>
      </w:r>
      <w:r w:rsidR="005725D8" w:rsidRPr="001D7023">
        <w:rPr>
          <w:rFonts w:ascii="Times New Roman" w:eastAsia="Times New Roman" w:hAnsi="Times New Roman"/>
          <w:sz w:val="28"/>
          <w:szCs w:val="28"/>
        </w:rPr>
        <w:t>.</w:t>
      </w:r>
      <w:r w:rsidRPr="001D7023">
        <w:rPr>
          <w:rFonts w:ascii="Times New Roman" w:eastAsia="Times New Roman" w:hAnsi="Times New Roman"/>
          <w:sz w:val="28"/>
          <w:szCs w:val="28"/>
        </w:rPr>
        <w:t xml:space="preserve"> </w:t>
      </w:r>
      <w:r w:rsidR="00AB0E2A" w:rsidRPr="00AB0E2A">
        <w:rPr>
          <w:rFonts w:ascii="Times New Roman" w:eastAsia="Times New Roman" w:hAnsi="Times New Roman"/>
          <w:sz w:val="28"/>
          <w:szCs w:val="28"/>
        </w:rPr>
        <w:t xml:space="preserve"> </w:t>
      </w:r>
    </w:p>
    <w:p w:rsidR="005725D8" w:rsidRPr="001D7023" w:rsidRDefault="005725D8" w:rsidP="001D7023">
      <w:pPr>
        <w:spacing w:after="0" w:line="240" w:lineRule="auto"/>
        <w:jc w:val="both"/>
        <w:rPr>
          <w:rFonts w:ascii="Times New Roman" w:eastAsia="Times New Roman" w:hAnsi="Times New Roman"/>
          <w:sz w:val="28"/>
          <w:szCs w:val="28"/>
        </w:rPr>
      </w:pPr>
    </w:p>
    <w:p w:rsidR="007C69D7" w:rsidRDefault="00505C99" w:rsidP="007C69D7">
      <w:pPr>
        <w:spacing w:after="0" w:line="240" w:lineRule="auto"/>
        <w:jc w:val="both"/>
        <w:rPr>
          <w:rFonts w:ascii="Times New Roman" w:eastAsia="Times New Roman" w:hAnsi="Times New Roman"/>
          <w:sz w:val="28"/>
          <w:szCs w:val="28"/>
        </w:rPr>
      </w:pPr>
      <w:r w:rsidRPr="001D7023">
        <w:rPr>
          <w:rFonts w:ascii="Times New Roman" w:hAnsi="Times New Roman"/>
          <w:sz w:val="28"/>
          <w:szCs w:val="28"/>
        </w:rPr>
        <w:t xml:space="preserve">I </w:t>
      </w:r>
      <w:r w:rsidR="005725D8" w:rsidRPr="001D7023">
        <w:rPr>
          <w:rFonts w:ascii="Times New Roman" w:hAnsi="Times New Roman"/>
          <w:sz w:val="28"/>
          <w:szCs w:val="28"/>
        </w:rPr>
        <w:t xml:space="preserve">now wish to </w:t>
      </w:r>
      <w:r w:rsidR="00C340D6" w:rsidRPr="001D7023">
        <w:rPr>
          <w:rFonts w:ascii="Times New Roman" w:hAnsi="Times New Roman"/>
          <w:sz w:val="28"/>
          <w:szCs w:val="28"/>
        </w:rPr>
        <w:t>examin</w:t>
      </w:r>
      <w:r w:rsidR="005725D8" w:rsidRPr="001D7023">
        <w:rPr>
          <w:rFonts w:ascii="Times New Roman" w:hAnsi="Times New Roman"/>
          <w:sz w:val="28"/>
          <w:szCs w:val="28"/>
        </w:rPr>
        <w:t>e</w:t>
      </w:r>
      <w:r w:rsidR="00C340D6" w:rsidRPr="001D7023">
        <w:rPr>
          <w:rFonts w:ascii="Times New Roman" w:hAnsi="Times New Roman"/>
          <w:sz w:val="28"/>
          <w:szCs w:val="28"/>
        </w:rPr>
        <w:t xml:space="preserve"> the issue of the lower court’s purported referral of the distribution of the matrimonial property to the High Court</w:t>
      </w:r>
      <w:r w:rsidR="00BD2A24" w:rsidRPr="001D7023">
        <w:rPr>
          <w:rFonts w:ascii="Times New Roman" w:hAnsi="Times New Roman"/>
          <w:sz w:val="28"/>
          <w:szCs w:val="28"/>
        </w:rPr>
        <w:t xml:space="preserve"> and, in this regard, s</w:t>
      </w:r>
      <w:r w:rsidR="00947B42" w:rsidRPr="001D7023">
        <w:rPr>
          <w:rFonts w:ascii="Times New Roman" w:hAnsi="Times New Roman"/>
          <w:sz w:val="28"/>
          <w:szCs w:val="28"/>
        </w:rPr>
        <w:t>ections 4</w:t>
      </w:r>
      <w:r w:rsidR="00F25BDA" w:rsidRPr="001D7023">
        <w:rPr>
          <w:rFonts w:ascii="Times New Roman" w:hAnsi="Times New Roman"/>
          <w:sz w:val="28"/>
          <w:szCs w:val="28"/>
        </w:rPr>
        <w:t>6</w:t>
      </w:r>
      <w:r w:rsidR="00947B42" w:rsidRPr="001D7023">
        <w:rPr>
          <w:rFonts w:ascii="Times New Roman" w:hAnsi="Times New Roman"/>
          <w:sz w:val="28"/>
          <w:szCs w:val="28"/>
        </w:rPr>
        <w:t>,</w:t>
      </w:r>
      <w:r w:rsidR="00F25BDA" w:rsidRPr="001D7023">
        <w:rPr>
          <w:rFonts w:ascii="Times New Roman" w:hAnsi="Times New Roman"/>
          <w:sz w:val="28"/>
          <w:szCs w:val="28"/>
        </w:rPr>
        <w:t xml:space="preserve"> 40, 41and 26</w:t>
      </w:r>
      <w:r w:rsidR="0074646D" w:rsidRPr="001D7023">
        <w:rPr>
          <w:rFonts w:ascii="Times New Roman" w:hAnsi="Times New Roman"/>
          <w:sz w:val="28"/>
          <w:szCs w:val="28"/>
        </w:rPr>
        <w:t xml:space="preserve"> of the Courts </w:t>
      </w:r>
      <w:r w:rsidR="00840668" w:rsidRPr="001D7023">
        <w:rPr>
          <w:rFonts w:ascii="Times New Roman" w:hAnsi="Times New Roman"/>
          <w:sz w:val="28"/>
          <w:szCs w:val="28"/>
        </w:rPr>
        <w:t xml:space="preserve">Act </w:t>
      </w:r>
      <w:r w:rsidR="0074646D" w:rsidRPr="001D7023">
        <w:rPr>
          <w:rFonts w:ascii="Times New Roman" w:hAnsi="Times New Roman"/>
          <w:sz w:val="28"/>
          <w:szCs w:val="28"/>
        </w:rPr>
        <w:t>are relevant.</w:t>
      </w:r>
    </w:p>
    <w:p w:rsidR="007C69D7" w:rsidRDefault="007C69D7" w:rsidP="007C69D7">
      <w:pPr>
        <w:spacing w:after="0" w:line="240" w:lineRule="auto"/>
        <w:jc w:val="both"/>
        <w:rPr>
          <w:rFonts w:ascii="Times New Roman" w:eastAsia="Times New Roman" w:hAnsi="Times New Roman"/>
          <w:sz w:val="28"/>
          <w:szCs w:val="28"/>
        </w:rPr>
      </w:pPr>
    </w:p>
    <w:p w:rsidR="00F25BDA" w:rsidRPr="007C69D7" w:rsidRDefault="0074646D" w:rsidP="007C69D7">
      <w:pPr>
        <w:spacing w:after="0" w:line="240" w:lineRule="auto"/>
        <w:jc w:val="both"/>
        <w:rPr>
          <w:rFonts w:ascii="Times New Roman" w:eastAsia="Times New Roman" w:hAnsi="Times New Roman"/>
          <w:sz w:val="28"/>
          <w:szCs w:val="28"/>
        </w:rPr>
      </w:pPr>
      <w:r w:rsidRPr="001D7023">
        <w:rPr>
          <w:rFonts w:ascii="Times New Roman" w:hAnsi="Times New Roman"/>
          <w:sz w:val="28"/>
          <w:szCs w:val="28"/>
        </w:rPr>
        <w:t>S</w:t>
      </w:r>
      <w:r w:rsidR="00F25BDA" w:rsidRPr="001D7023">
        <w:rPr>
          <w:rFonts w:ascii="Times New Roman" w:hAnsi="Times New Roman"/>
          <w:sz w:val="28"/>
          <w:szCs w:val="28"/>
        </w:rPr>
        <w:t xml:space="preserve">ection 46 </w:t>
      </w:r>
      <w:r w:rsidRPr="001D7023">
        <w:rPr>
          <w:rFonts w:ascii="Times New Roman" w:hAnsi="Times New Roman"/>
          <w:sz w:val="28"/>
          <w:szCs w:val="28"/>
        </w:rPr>
        <w:t xml:space="preserve">of the Courts Act deals with </w:t>
      </w:r>
      <w:r w:rsidR="00F25BDA" w:rsidRPr="001D7023">
        <w:rPr>
          <w:rFonts w:ascii="Times New Roman" w:hAnsi="Times New Roman"/>
          <w:sz w:val="28"/>
          <w:szCs w:val="28"/>
        </w:rPr>
        <w:t>transfer of proceedings</w:t>
      </w:r>
      <w:r w:rsidRPr="001D7023">
        <w:rPr>
          <w:rFonts w:ascii="Times New Roman" w:hAnsi="Times New Roman"/>
          <w:sz w:val="28"/>
          <w:szCs w:val="28"/>
        </w:rPr>
        <w:t xml:space="preserve"> and it reads:</w:t>
      </w:r>
    </w:p>
    <w:p w:rsidR="007C69D7" w:rsidRDefault="007C69D7" w:rsidP="001D7023">
      <w:pPr>
        <w:spacing w:line="240" w:lineRule="auto"/>
        <w:jc w:val="both"/>
        <w:rPr>
          <w:rFonts w:ascii="Times New Roman" w:hAnsi="Times New Roman"/>
          <w:sz w:val="28"/>
          <w:szCs w:val="28"/>
        </w:rPr>
      </w:pPr>
    </w:p>
    <w:p w:rsidR="00F25BDA" w:rsidRPr="001D7023" w:rsidRDefault="0074646D" w:rsidP="001D7023">
      <w:pPr>
        <w:spacing w:line="240" w:lineRule="auto"/>
        <w:jc w:val="both"/>
        <w:rPr>
          <w:rFonts w:ascii="Times New Roman" w:hAnsi="Times New Roman"/>
          <w:i/>
          <w:sz w:val="24"/>
          <w:szCs w:val="24"/>
          <w:lang w:eastAsia="en-GB"/>
        </w:rPr>
      </w:pPr>
      <w:r w:rsidRPr="001D7023">
        <w:rPr>
          <w:rFonts w:ascii="Times New Roman" w:hAnsi="Times New Roman"/>
          <w:sz w:val="28"/>
          <w:szCs w:val="28"/>
        </w:rPr>
        <w:tab/>
      </w:r>
      <w:r w:rsidRPr="001D7023">
        <w:rPr>
          <w:rFonts w:ascii="Times New Roman" w:hAnsi="Times New Roman"/>
          <w:i/>
          <w:sz w:val="24"/>
          <w:szCs w:val="24"/>
        </w:rPr>
        <w:t>“</w:t>
      </w:r>
      <w:r w:rsidR="00F25BDA" w:rsidRPr="001D7023">
        <w:rPr>
          <w:rFonts w:ascii="Times New Roman" w:hAnsi="Times New Roman"/>
          <w:i/>
          <w:sz w:val="24"/>
          <w:szCs w:val="24"/>
          <w:lang w:eastAsia="en-GB"/>
        </w:rPr>
        <w:t xml:space="preserve">(1) </w:t>
      </w:r>
      <w:r w:rsidRPr="001D7023">
        <w:rPr>
          <w:rFonts w:ascii="Times New Roman" w:hAnsi="Times New Roman"/>
          <w:i/>
          <w:sz w:val="24"/>
          <w:szCs w:val="24"/>
          <w:lang w:eastAsia="en-GB"/>
        </w:rPr>
        <w:tab/>
      </w:r>
      <w:r w:rsidR="00F25BDA" w:rsidRPr="001D7023">
        <w:rPr>
          <w:rFonts w:ascii="Times New Roman" w:hAnsi="Times New Roman"/>
          <w:i/>
          <w:sz w:val="24"/>
          <w:szCs w:val="24"/>
          <w:lang w:eastAsia="en-GB"/>
        </w:rPr>
        <w:t>Subject to any written law, a subordinate court may—</w:t>
      </w:r>
    </w:p>
    <w:p w:rsidR="00F25BDA" w:rsidRPr="001D7023" w:rsidRDefault="00F25BDA" w:rsidP="001D7023">
      <w:pPr>
        <w:autoSpaceDE w:val="0"/>
        <w:autoSpaceDN w:val="0"/>
        <w:adjustRightInd w:val="0"/>
        <w:spacing w:after="0" w:line="240" w:lineRule="auto"/>
        <w:ind w:left="2160" w:hanging="720"/>
        <w:jc w:val="both"/>
        <w:rPr>
          <w:rFonts w:ascii="Times New Roman" w:hAnsi="Times New Roman"/>
          <w:i/>
          <w:sz w:val="24"/>
          <w:szCs w:val="24"/>
          <w:lang w:eastAsia="en-GB"/>
        </w:rPr>
      </w:pPr>
      <w:r w:rsidRPr="001D7023">
        <w:rPr>
          <w:rFonts w:ascii="Times New Roman" w:hAnsi="Times New Roman"/>
          <w:i/>
          <w:sz w:val="24"/>
          <w:szCs w:val="24"/>
          <w:lang w:eastAsia="en-GB"/>
        </w:rPr>
        <w:t xml:space="preserve">(a) </w:t>
      </w:r>
      <w:r w:rsidR="0074646D" w:rsidRPr="001D7023">
        <w:rPr>
          <w:rFonts w:ascii="Times New Roman" w:hAnsi="Times New Roman"/>
          <w:i/>
          <w:sz w:val="24"/>
          <w:szCs w:val="24"/>
          <w:lang w:eastAsia="en-GB"/>
        </w:rPr>
        <w:tab/>
      </w:r>
      <w:proofErr w:type="gramStart"/>
      <w:r w:rsidRPr="001D7023">
        <w:rPr>
          <w:rFonts w:ascii="Times New Roman" w:hAnsi="Times New Roman"/>
          <w:i/>
          <w:sz w:val="24"/>
          <w:szCs w:val="24"/>
          <w:lang w:eastAsia="en-GB"/>
        </w:rPr>
        <w:t>transfer</w:t>
      </w:r>
      <w:proofErr w:type="gramEnd"/>
      <w:r w:rsidRPr="001D7023">
        <w:rPr>
          <w:rFonts w:ascii="Times New Roman" w:hAnsi="Times New Roman"/>
          <w:i/>
          <w:sz w:val="24"/>
          <w:szCs w:val="24"/>
          <w:lang w:eastAsia="en-GB"/>
        </w:rPr>
        <w:t xml:space="preserve"> any proceedings before itself to a subordinate court of a lesser grade;</w:t>
      </w:r>
    </w:p>
    <w:p w:rsidR="0074646D" w:rsidRPr="001D7023" w:rsidRDefault="0074646D" w:rsidP="001D7023">
      <w:pPr>
        <w:autoSpaceDE w:val="0"/>
        <w:autoSpaceDN w:val="0"/>
        <w:adjustRightInd w:val="0"/>
        <w:spacing w:after="0" w:line="240" w:lineRule="auto"/>
        <w:ind w:left="2160" w:hanging="720"/>
        <w:jc w:val="both"/>
        <w:rPr>
          <w:rFonts w:ascii="Times New Roman" w:hAnsi="Times New Roman"/>
          <w:i/>
          <w:sz w:val="24"/>
          <w:szCs w:val="24"/>
          <w:lang w:eastAsia="en-GB"/>
        </w:rPr>
      </w:pPr>
    </w:p>
    <w:p w:rsidR="00F25BDA" w:rsidRPr="001D7023" w:rsidRDefault="00F25BDA" w:rsidP="001D7023">
      <w:pPr>
        <w:autoSpaceDE w:val="0"/>
        <w:autoSpaceDN w:val="0"/>
        <w:adjustRightInd w:val="0"/>
        <w:spacing w:after="0" w:line="240" w:lineRule="auto"/>
        <w:ind w:left="2160" w:hanging="720"/>
        <w:jc w:val="both"/>
        <w:rPr>
          <w:rFonts w:ascii="Times New Roman" w:hAnsi="Times New Roman"/>
          <w:i/>
          <w:sz w:val="24"/>
          <w:szCs w:val="24"/>
          <w:lang w:eastAsia="en-GB"/>
        </w:rPr>
      </w:pPr>
      <w:r w:rsidRPr="001D7023">
        <w:rPr>
          <w:rFonts w:ascii="Times New Roman" w:hAnsi="Times New Roman"/>
          <w:i/>
          <w:sz w:val="24"/>
          <w:szCs w:val="24"/>
          <w:lang w:eastAsia="en-GB"/>
        </w:rPr>
        <w:t xml:space="preserve">(b) </w:t>
      </w:r>
      <w:r w:rsidR="0074646D" w:rsidRPr="001D7023">
        <w:rPr>
          <w:rFonts w:ascii="Times New Roman" w:hAnsi="Times New Roman"/>
          <w:i/>
          <w:sz w:val="24"/>
          <w:szCs w:val="24"/>
          <w:lang w:eastAsia="en-GB"/>
        </w:rPr>
        <w:tab/>
      </w:r>
      <w:proofErr w:type="gramStart"/>
      <w:r w:rsidRPr="001D7023">
        <w:rPr>
          <w:rFonts w:ascii="Times New Roman" w:hAnsi="Times New Roman"/>
          <w:i/>
          <w:sz w:val="24"/>
          <w:szCs w:val="24"/>
          <w:lang w:eastAsia="en-GB"/>
        </w:rPr>
        <w:t>transfer</w:t>
      </w:r>
      <w:proofErr w:type="gramEnd"/>
      <w:r w:rsidRPr="001D7023">
        <w:rPr>
          <w:rFonts w:ascii="Times New Roman" w:hAnsi="Times New Roman"/>
          <w:i/>
          <w:sz w:val="24"/>
          <w:szCs w:val="24"/>
          <w:lang w:eastAsia="en-GB"/>
        </w:rPr>
        <w:t xml:space="preserve"> any proceedings before itself to any subordinate court of a higher grade with</w:t>
      </w:r>
      <w:r w:rsidR="0074646D" w:rsidRPr="001D7023">
        <w:rPr>
          <w:rFonts w:ascii="Times New Roman" w:hAnsi="Times New Roman"/>
          <w:i/>
          <w:sz w:val="24"/>
          <w:szCs w:val="24"/>
          <w:lang w:eastAsia="en-GB"/>
        </w:rPr>
        <w:t xml:space="preserve"> </w:t>
      </w:r>
      <w:r w:rsidRPr="001D7023">
        <w:rPr>
          <w:rFonts w:ascii="Times New Roman" w:hAnsi="Times New Roman"/>
          <w:i/>
          <w:sz w:val="24"/>
          <w:szCs w:val="24"/>
          <w:lang w:eastAsia="en-GB"/>
        </w:rPr>
        <w:t>the consent of such court; and</w:t>
      </w:r>
    </w:p>
    <w:p w:rsidR="0074646D" w:rsidRPr="001D7023" w:rsidRDefault="0074646D" w:rsidP="001D7023">
      <w:pPr>
        <w:autoSpaceDE w:val="0"/>
        <w:autoSpaceDN w:val="0"/>
        <w:adjustRightInd w:val="0"/>
        <w:spacing w:after="0" w:line="240" w:lineRule="auto"/>
        <w:jc w:val="both"/>
        <w:rPr>
          <w:rFonts w:ascii="Times New Roman" w:hAnsi="Times New Roman"/>
          <w:i/>
          <w:sz w:val="24"/>
          <w:szCs w:val="24"/>
          <w:lang w:eastAsia="en-GB"/>
        </w:rPr>
      </w:pPr>
    </w:p>
    <w:p w:rsidR="007C69D7" w:rsidRDefault="00F25BDA" w:rsidP="007C69D7">
      <w:pPr>
        <w:autoSpaceDE w:val="0"/>
        <w:autoSpaceDN w:val="0"/>
        <w:adjustRightInd w:val="0"/>
        <w:spacing w:after="0" w:line="240" w:lineRule="auto"/>
        <w:ind w:left="2160" w:hanging="720"/>
        <w:jc w:val="both"/>
        <w:rPr>
          <w:rFonts w:ascii="Times New Roman" w:hAnsi="Times New Roman"/>
          <w:i/>
          <w:sz w:val="24"/>
          <w:szCs w:val="24"/>
          <w:lang w:eastAsia="en-GB"/>
        </w:rPr>
      </w:pPr>
      <w:r w:rsidRPr="001D7023">
        <w:rPr>
          <w:rFonts w:ascii="Times New Roman" w:hAnsi="Times New Roman"/>
          <w:i/>
          <w:sz w:val="24"/>
          <w:szCs w:val="24"/>
          <w:lang w:eastAsia="en-GB"/>
        </w:rPr>
        <w:lastRenderedPageBreak/>
        <w:t xml:space="preserve">(c) </w:t>
      </w:r>
      <w:r w:rsidR="0074646D" w:rsidRPr="001D7023">
        <w:rPr>
          <w:rFonts w:ascii="Times New Roman" w:hAnsi="Times New Roman"/>
          <w:i/>
          <w:sz w:val="24"/>
          <w:szCs w:val="24"/>
          <w:lang w:eastAsia="en-GB"/>
        </w:rPr>
        <w:tab/>
      </w:r>
      <w:proofErr w:type="gramStart"/>
      <w:r w:rsidRPr="001D7023">
        <w:rPr>
          <w:rFonts w:ascii="Times New Roman" w:hAnsi="Times New Roman"/>
          <w:i/>
          <w:sz w:val="24"/>
          <w:szCs w:val="24"/>
          <w:lang w:eastAsia="en-GB"/>
        </w:rPr>
        <w:t>direct</w:t>
      </w:r>
      <w:proofErr w:type="gramEnd"/>
      <w:r w:rsidRPr="001D7023">
        <w:rPr>
          <w:rFonts w:ascii="Times New Roman" w:hAnsi="Times New Roman"/>
          <w:i/>
          <w:sz w:val="24"/>
          <w:szCs w:val="24"/>
          <w:lang w:eastAsia="en-GB"/>
        </w:rPr>
        <w:t xml:space="preserve"> the transfer to itself of any proceedings before any subordinate court of a lesser</w:t>
      </w:r>
      <w:r w:rsidR="0074646D" w:rsidRPr="001D7023">
        <w:rPr>
          <w:rFonts w:ascii="Times New Roman" w:hAnsi="Times New Roman"/>
          <w:i/>
          <w:sz w:val="24"/>
          <w:szCs w:val="24"/>
          <w:lang w:eastAsia="en-GB"/>
        </w:rPr>
        <w:t xml:space="preserve"> </w:t>
      </w:r>
      <w:r w:rsidRPr="001D7023">
        <w:rPr>
          <w:rFonts w:ascii="Times New Roman" w:hAnsi="Times New Roman"/>
          <w:i/>
          <w:sz w:val="24"/>
          <w:szCs w:val="24"/>
          <w:lang w:eastAsia="en-GB"/>
        </w:rPr>
        <w:t>grade.</w:t>
      </w:r>
    </w:p>
    <w:p w:rsidR="007C69D7" w:rsidRDefault="007C69D7" w:rsidP="007C69D7">
      <w:pPr>
        <w:autoSpaceDE w:val="0"/>
        <w:autoSpaceDN w:val="0"/>
        <w:adjustRightInd w:val="0"/>
        <w:spacing w:after="0" w:line="240" w:lineRule="auto"/>
        <w:jc w:val="both"/>
        <w:rPr>
          <w:rFonts w:ascii="Times New Roman" w:hAnsi="Times New Roman"/>
          <w:i/>
          <w:sz w:val="24"/>
          <w:szCs w:val="24"/>
          <w:lang w:eastAsia="en-GB"/>
        </w:rPr>
      </w:pPr>
    </w:p>
    <w:p w:rsidR="00F25BDA" w:rsidRPr="001D7023" w:rsidRDefault="00F25BDA" w:rsidP="007C69D7">
      <w:pPr>
        <w:autoSpaceDE w:val="0"/>
        <w:autoSpaceDN w:val="0"/>
        <w:adjustRightInd w:val="0"/>
        <w:spacing w:after="0" w:line="240" w:lineRule="auto"/>
        <w:ind w:left="720"/>
        <w:jc w:val="both"/>
        <w:rPr>
          <w:rFonts w:ascii="Times New Roman" w:hAnsi="Times New Roman"/>
          <w:i/>
          <w:sz w:val="24"/>
          <w:szCs w:val="24"/>
          <w:lang w:eastAsia="en-GB"/>
        </w:rPr>
      </w:pPr>
      <w:r w:rsidRPr="001D7023">
        <w:rPr>
          <w:rFonts w:ascii="Times New Roman" w:hAnsi="Times New Roman"/>
          <w:i/>
          <w:sz w:val="24"/>
          <w:szCs w:val="24"/>
          <w:lang w:eastAsia="en-GB"/>
        </w:rPr>
        <w:t xml:space="preserve">(2) </w:t>
      </w:r>
      <w:r w:rsidR="0074646D" w:rsidRPr="001D7023">
        <w:rPr>
          <w:rFonts w:ascii="Times New Roman" w:hAnsi="Times New Roman"/>
          <w:i/>
          <w:sz w:val="24"/>
          <w:szCs w:val="24"/>
          <w:lang w:eastAsia="en-GB"/>
        </w:rPr>
        <w:tab/>
      </w:r>
      <w:r w:rsidRPr="001D7023">
        <w:rPr>
          <w:rFonts w:ascii="Times New Roman" w:hAnsi="Times New Roman"/>
          <w:i/>
          <w:sz w:val="24"/>
          <w:szCs w:val="24"/>
          <w:lang w:eastAsia="en-GB"/>
        </w:rPr>
        <w:t>A subordinate court shall comply with any direction given to it under subsection (1).</w:t>
      </w:r>
      <w:proofErr w:type="gramStart"/>
      <w:r w:rsidR="0074646D" w:rsidRPr="001D7023">
        <w:rPr>
          <w:rFonts w:ascii="Times New Roman" w:hAnsi="Times New Roman"/>
          <w:i/>
          <w:sz w:val="24"/>
          <w:szCs w:val="24"/>
          <w:lang w:eastAsia="en-GB"/>
        </w:rPr>
        <w:t>”</w:t>
      </w:r>
      <w:r w:rsidR="00EA1D41" w:rsidRPr="001D7023">
        <w:rPr>
          <w:rFonts w:ascii="Times New Roman" w:hAnsi="Times New Roman"/>
          <w:i/>
          <w:sz w:val="24"/>
          <w:szCs w:val="24"/>
          <w:lang w:eastAsia="en-GB"/>
        </w:rPr>
        <w:t>.</w:t>
      </w:r>
      <w:proofErr w:type="gramEnd"/>
    </w:p>
    <w:p w:rsidR="007C69D7" w:rsidRDefault="007C69D7" w:rsidP="001D7023">
      <w:pPr>
        <w:spacing w:line="240" w:lineRule="auto"/>
        <w:jc w:val="both"/>
        <w:rPr>
          <w:rFonts w:ascii="Times New Roman" w:hAnsi="Times New Roman"/>
          <w:sz w:val="28"/>
          <w:szCs w:val="28"/>
          <w:lang w:eastAsia="en-GB"/>
        </w:rPr>
      </w:pPr>
    </w:p>
    <w:p w:rsidR="007C69D7" w:rsidRDefault="007C69D7" w:rsidP="001D7023">
      <w:pPr>
        <w:spacing w:line="240" w:lineRule="auto"/>
        <w:jc w:val="both"/>
        <w:rPr>
          <w:rFonts w:ascii="Times New Roman" w:hAnsi="Times New Roman"/>
          <w:sz w:val="28"/>
          <w:szCs w:val="28"/>
          <w:lang w:eastAsia="en-GB"/>
        </w:rPr>
      </w:pPr>
    </w:p>
    <w:p w:rsidR="007C69D7" w:rsidRDefault="007C69D7" w:rsidP="001D7023">
      <w:pPr>
        <w:spacing w:line="240" w:lineRule="auto"/>
        <w:jc w:val="both"/>
        <w:rPr>
          <w:rFonts w:ascii="Times New Roman" w:hAnsi="Times New Roman"/>
          <w:sz w:val="28"/>
          <w:szCs w:val="28"/>
          <w:lang w:eastAsia="en-GB"/>
        </w:rPr>
      </w:pPr>
    </w:p>
    <w:p w:rsidR="00EA1D41" w:rsidRPr="001D7023" w:rsidRDefault="00EA1D41" w:rsidP="001D7023">
      <w:pPr>
        <w:spacing w:line="240" w:lineRule="auto"/>
        <w:jc w:val="both"/>
        <w:rPr>
          <w:rFonts w:ascii="Times New Roman" w:hAnsi="Times New Roman"/>
          <w:sz w:val="28"/>
          <w:szCs w:val="28"/>
        </w:rPr>
      </w:pPr>
      <w:r w:rsidRPr="001D7023">
        <w:rPr>
          <w:rFonts w:ascii="Times New Roman" w:hAnsi="Times New Roman"/>
          <w:sz w:val="28"/>
          <w:szCs w:val="28"/>
          <w:lang w:eastAsia="en-GB"/>
        </w:rPr>
        <w:t xml:space="preserve">It is evidently clear that section 46 of the Act allows a subordinate court to transfer proceedings to another subordinate court. This section does not empower a subordinate court to transfer proceedings from itself to the High Court. </w:t>
      </w:r>
    </w:p>
    <w:p w:rsidR="00947B42" w:rsidRPr="001D7023" w:rsidRDefault="00ED5977" w:rsidP="001D7023">
      <w:pPr>
        <w:autoSpaceDE w:val="0"/>
        <w:autoSpaceDN w:val="0"/>
        <w:adjustRightInd w:val="0"/>
        <w:spacing w:after="0" w:line="240" w:lineRule="auto"/>
        <w:jc w:val="both"/>
        <w:rPr>
          <w:rFonts w:ascii="Times New Roman" w:hAnsi="Times New Roman"/>
          <w:sz w:val="28"/>
          <w:szCs w:val="28"/>
          <w:lang w:eastAsia="en-GB"/>
        </w:rPr>
      </w:pPr>
      <w:r w:rsidRPr="001D7023">
        <w:rPr>
          <w:rFonts w:ascii="Times New Roman" w:hAnsi="Times New Roman"/>
          <w:sz w:val="28"/>
          <w:szCs w:val="28"/>
          <w:lang w:eastAsia="en-GB"/>
        </w:rPr>
        <w:t xml:space="preserve">Section 40 makes provision </w:t>
      </w:r>
      <w:r w:rsidR="0074646D" w:rsidRPr="001D7023">
        <w:rPr>
          <w:rFonts w:ascii="Times New Roman" w:hAnsi="Times New Roman"/>
          <w:sz w:val="28"/>
          <w:szCs w:val="28"/>
          <w:lang w:eastAsia="en-GB"/>
        </w:rPr>
        <w:t>regarding c</w:t>
      </w:r>
      <w:r w:rsidR="00947B42" w:rsidRPr="001D7023">
        <w:rPr>
          <w:rFonts w:ascii="Times New Roman" w:hAnsi="Times New Roman"/>
          <w:sz w:val="28"/>
          <w:szCs w:val="28"/>
          <w:lang w:eastAsia="en-GB"/>
        </w:rPr>
        <w:t>ounterclaims in subordinate courts</w:t>
      </w:r>
      <w:r w:rsidR="0074646D" w:rsidRPr="001D7023">
        <w:rPr>
          <w:rFonts w:ascii="Times New Roman" w:hAnsi="Times New Roman"/>
          <w:sz w:val="28"/>
          <w:szCs w:val="28"/>
          <w:lang w:eastAsia="en-GB"/>
        </w:rPr>
        <w:t xml:space="preserve"> and it is in the following terms:</w:t>
      </w:r>
    </w:p>
    <w:p w:rsidR="0074646D" w:rsidRPr="001D7023" w:rsidRDefault="0074646D" w:rsidP="001D7023">
      <w:pPr>
        <w:autoSpaceDE w:val="0"/>
        <w:autoSpaceDN w:val="0"/>
        <w:adjustRightInd w:val="0"/>
        <w:spacing w:after="0" w:line="240" w:lineRule="auto"/>
        <w:jc w:val="both"/>
        <w:rPr>
          <w:rFonts w:ascii="Times New Roman" w:hAnsi="Times New Roman"/>
          <w:sz w:val="28"/>
          <w:szCs w:val="28"/>
          <w:lang w:eastAsia="en-GB"/>
        </w:rPr>
      </w:pPr>
    </w:p>
    <w:p w:rsidR="00947B42" w:rsidRPr="001D7023" w:rsidRDefault="0074646D" w:rsidP="001D7023">
      <w:pPr>
        <w:autoSpaceDE w:val="0"/>
        <w:autoSpaceDN w:val="0"/>
        <w:adjustRightInd w:val="0"/>
        <w:spacing w:after="0" w:line="240" w:lineRule="auto"/>
        <w:ind w:left="720"/>
        <w:jc w:val="both"/>
        <w:rPr>
          <w:rFonts w:ascii="Times New Roman" w:hAnsi="Times New Roman"/>
          <w:i/>
          <w:sz w:val="24"/>
          <w:szCs w:val="24"/>
          <w:lang w:eastAsia="en-GB"/>
        </w:rPr>
      </w:pPr>
      <w:r w:rsidRPr="001D7023">
        <w:rPr>
          <w:rFonts w:ascii="Times New Roman" w:hAnsi="Times New Roman"/>
          <w:i/>
          <w:sz w:val="24"/>
          <w:szCs w:val="24"/>
          <w:lang w:eastAsia="en-GB"/>
        </w:rPr>
        <w:t>“</w:t>
      </w:r>
      <w:r w:rsidR="00947B42" w:rsidRPr="001D7023">
        <w:rPr>
          <w:rFonts w:ascii="Times New Roman" w:hAnsi="Times New Roman"/>
          <w:i/>
          <w:sz w:val="24"/>
          <w:szCs w:val="24"/>
          <w:lang w:eastAsia="en-GB"/>
        </w:rPr>
        <w:t xml:space="preserve">(1) </w:t>
      </w:r>
      <w:r w:rsidRPr="001D7023">
        <w:rPr>
          <w:rFonts w:ascii="Times New Roman" w:hAnsi="Times New Roman"/>
          <w:i/>
          <w:sz w:val="24"/>
          <w:szCs w:val="24"/>
          <w:lang w:eastAsia="en-GB"/>
        </w:rPr>
        <w:tab/>
      </w:r>
      <w:r w:rsidR="00947B42" w:rsidRPr="001D7023">
        <w:rPr>
          <w:rFonts w:ascii="Times New Roman" w:hAnsi="Times New Roman"/>
          <w:i/>
          <w:sz w:val="24"/>
          <w:szCs w:val="24"/>
          <w:lang w:eastAsia="en-GB"/>
        </w:rPr>
        <w:t xml:space="preserve">Where, in any action or suit of a civil nature before a subordinate court, any </w:t>
      </w:r>
      <w:proofErr w:type="spellStart"/>
      <w:r w:rsidR="00947B42" w:rsidRPr="001D7023">
        <w:rPr>
          <w:rFonts w:ascii="Times New Roman" w:hAnsi="Times New Roman"/>
          <w:i/>
          <w:sz w:val="24"/>
          <w:szCs w:val="24"/>
          <w:lang w:eastAsia="en-GB"/>
        </w:rPr>
        <w:t>defence</w:t>
      </w:r>
      <w:proofErr w:type="spellEnd"/>
      <w:r w:rsidR="00947B42" w:rsidRPr="001D7023">
        <w:rPr>
          <w:rFonts w:ascii="Times New Roman" w:hAnsi="Times New Roman"/>
          <w:i/>
          <w:sz w:val="24"/>
          <w:szCs w:val="24"/>
          <w:lang w:eastAsia="en-GB"/>
        </w:rPr>
        <w:t xml:space="preserve"> or</w:t>
      </w:r>
      <w:r w:rsidRPr="001D7023">
        <w:rPr>
          <w:rFonts w:ascii="Times New Roman" w:hAnsi="Times New Roman"/>
          <w:i/>
          <w:sz w:val="24"/>
          <w:szCs w:val="24"/>
          <w:lang w:eastAsia="en-GB"/>
        </w:rPr>
        <w:t xml:space="preserve"> </w:t>
      </w:r>
      <w:r w:rsidR="00947B42" w:rsidRPr="001D7023">
        <w:rPr>
          <w:rFonts w:ascii="Times New Roman" w:hAnsi="Times New Roman"/>
          <w:i/>
          <w:sz w:val="24"/>
          <w:szCs w:val="24"/>
          <w:lang w:eastAsia="en-GB"/>
        </w:rPr>
        <w:t>counterclaim of the defendant involves matters beyond the jurisdiction of such subordinate court, such</w:t>
      </w:r>
      <w:r w:rsidRPr="001D7023">
        <w:rPr>
          <w:rFonts w:ascii="Times New Roman" w:hAnsi="Times New Roman"/>
          <w:i/>
          <w:sz w:val="24"/>
          <w:szCs w:val="24"/>
          <w:lang w:eastAsia="en-GB"/>
        </w:rPr>
        <w:t xml:space="preserve"> </w:t>
      </w:r>
      <w:proofErr w:type="spellStart"/>
      <w:r w:rsidR="00947B42" w:rsidRPr="001D7023">
        <w:rPr>
          <w:rFonts w:ascii="Times New Roman" w:hAnsi="Times New Roman"/>
          <w:i/>
          <w:sz w:val="24"/>
          <w:szCs w:val="24"/>
          <w:lang w:eastAsia="en-GB"/>
        </w:rPr>
        <w:t>defence</w:t>
      </w:r>
      <w:proofErr w:type="spellEnd"/>
      <w:r w:rsidR="00947B42" w:rsidRPr="001D7023">
        <w:rPr>
          <w:rFonts w:ascii="Times New Roman" w:hAnsi="Times New Roman"/>
          <w:i/>
          <w:sz w:val="24"/>
          <w:szCs w:val="24"/>
          <w:lang w:eastAsia="en-GB"/>
        </w:rPr>
        <w:t xml:space="preserve"> or matter shall not affect the competence or the duty of the subordinate court to dispose of the</w:t>
      </w:r>
      <w:r w:rsidR="00001117" w:rsidRPr="001D7023">
        <w:rPr>
          <w:rFonts w:ascii="Times New Roman" w:hAnsi="Times New Roman"/>
          <w:i/>
          <w:sz w:val="24"/>
          <w:szCs w:val="24"/>
          <w:lang w:eastAsia="en-GB"/>
        </w:rPr>
        <w:t xml:space="preserve"> </w:t>
      </w:r>
      <w:r w:rsidR="00947B42" w:rsidRPr="001D7023">
        <w:rPr>
          <w:rFonts w:ascii="Times New Roman" w:hAnsi="Times New Roman"/>
          <w:i/>
          <w:sz w:val="24"/>
          <w:szCs w:val="24"/>
          <w:lang w:eastAsia="en-GB"/>
        </w:rPr>
        <w:t xml:space="preserve">whole matter in controversy so far as relates to the demand of the plaintiff and any </w:t>
      </w:r>
      <w:proofErr w:type="spellStart"/>
      <w:r w:rsidR="00947B42" w:rsidRPr="001D7023">
        <w:rPr>
          <w:rFonts w:ascii="Times New Roman" w:hAnsi="Times New Roman"/>
          <w:i/>
          <w:sz w:val="24"/>
          <w:szCs w:val="24"/>
          <w:lang w:eastAsia="en-GB"/>
        </w:rPr>
        <w:t>defence</w:t>
      </w:r>
      <w:proofErr w:type="spellEnd"/>
      <w:r w:rsidR="00947B42" w:rsidRPr="001D7023">
        <w:rPr>
          <w:rFonts w:ascii="Times New Roman" w:hAnsi="Times New Roman"/>
          <w:i/>
          <w:sz w:val="24"/>
          <w:szCs w:val="24"/>
          <w:lang w:eastAsia="en-GB"/>
        </w:rPr>
        <w:t xml:space="preserve"> thereto, but</w:t>
      </w:r>
      <w:r w:rsidRPr="001D7023">
        <w:rPr>
          <w:rFonts w:ascii="Times New Roman" w:hAnsi="Times New Roman"/>
          <w:i/>
          <w:sz w:val="24"/>
          <w:szCs w:val="24"/>
          <w:lang w:eastAsia="en-GB"/>
        </w:rPr>
        <w:t xml:space="preserve"> </w:t>
      </w:r>
      <w:r w:rsidR="00947B42" w:rsidRPr="001D7023">
        <w:rPr>
          <w:rFonts w:ascii="Times New Roman" w:hAnsi="Times New Roman"/>
          <w:i/>
          <w:sz w:val="24"/>
          <w:szCs w:val="24"/>
          <w:lang w:eastAsia="en-GB"/>
        </w:rPr>
        <w:t>no relief exceeding that which the subordinate court has jurisdiction to award shall be given to the</w:t>
      </w:r>
      <w:r w:rsidRPr="001D7023">
        <w:rPr>
          <w:rFonts w:ascii="Times New Roman" w:hAnsi="Times New Roman"/>
          <w:i/>
          <w:sz w:val="24"/>
          <w:szCs w:val="24"/>
          <w:lang w:eastAsia="en-GB"/>
        </w:rPr>
        <w:t xml:space="preserve"> </w:t>
      </w:r>
      <w:r w:rsidR="00947B42" w:rsidRPr="001D7023">
        <w:rPr>
          <w:rFonts w:ascii="Times New Roman" w:hAnsi="Times New Roman"/>
          <w:i/>
          <w:sz w:val="24"/>
          <w:szCs w:val="24"/>
          <w:lang w:eastAsia="en-GB"/>
        </w:rPr>
        <w:t>defendant upon such counterclaim.</w:t>
      </w:r>
    </w:p>
    <w:p w:rsidR="00EA1D41" w:rsidRPr="001D7023" w:rsidRDefault="00EA1D41" w:rsidP="001D7023">
      <w:pPr>
        <w:autoSpaceDE w:val="0"/>
        <w:autoSpaceDN w:val="0"/>
        <w:adjustRightInd w:val="0"/>
        <w:spacing w:after="0" w:line="240" w:lineRule="auto"/>
        <w:ind w:left="720"/>
        <w:jc w:val="both"/>
        <w:rPr>
          <w:rFonts w:ascii="Times New Roman" w:hAnsi="Times New Roman"/>
          <w:i/>
          <w:sz w:val="24"/>
          <w:szCs w:val="24"/>
          <w:lang w:eastAsia="en-GB"/>
        </w:rPr>
      </w:pPr>
    </w:p>
    <w:p w:rsidR="00947B42" w:rsidRPr="001D7023" w:rsidRDefault="00947B42" w:rsidP="001D7023">
      <w:pPr>
        <w:autoSpaceDE w:val="0"/>
        <w:autoSpaceDN w:val="0"/>
        <w:adjustRightInd w:val="0"/>
        <w:spacing w:after="0" w:line="240" w:lineRule="auto"/>
        <w:ind w:left="720"/>
        <w:jc w:val="both"/>
        <w:rPr>
          <w:rFonts w:ascii="Times New Roman" w:hAnsi="Times New Roman"/>
          <w:i/>
          <w:sz w:val="24"/>
          <w:szCs w:val="24"/>
          <w:lang w:eastAsia="en-GB"/>
        </w:rPr>
      </w:pPr>
      <w:r w:rsidRPr="001D7023">
        <w:rPr>
          <w:rFonts w:ascii="Times New Roman" w:hAnsi="Times New Roman"/>
          <w:i/>
          <w:sz w:val="24"/>
          <w:szCs w:val="24"/>
          <w:lang w:eastAsia="en-GB"/>
        </w:rPr>
        <w:t xml:space="preserve">(2) </w:t>
      </w:r>
      <w:r w:rsidR="00EA1D41" w:rsidRPr="001D7023">
        <w:rPr>
          <w:rFonts w:ascii="Times New Roman" w:hAnsi="Times New Roman"/>
          <w:i/>
          <w:sz w:val="24"/>
          <w:szCs w:val="24"/>
          <w:lang w:eastAsia="en-GB"/>
        </w:rPr>
        <w:tab/>
      </w:r>
      <w:r w:rsidRPr="001D7023">
        <w:rPr>
          <w:rFonts w:ascii="Times New Roman" w:hAnsi="Times New Roman"/>
          <w:i/>
          <w:sz w:val="24"/>
          <w:szCs w:val="24"/>
          <w:lang w:eastAsia="en-GB"/>
        </w:rPr>
        <w:t>In any such case the High Court may, if it thinks fit, on the application of any party order that</w:t>
      </w:r>
      <w:r w:rsidR="00EA1D41" w:rsidRPr="001D7023">
        <w:rPr>
          <w:rFonts w:ascii="Times New Roman" w:hAnsi="Times New Roman"/>
          <w:i/>
          <w:sz w:val="24"/>
          <w:szCs w:val="24"/>
          <w:lang w:eastAsia="en-GB"/>
        </w:rPr>
        <w:t xml:space="preserve"> </w:t>
      </w:r>
      <w:r w:rsidRPr="001D7023">
        <w:rPr>
          <w:rFonts w:ascii="Times New Roman" w:hAnsi="Times New Roman"/>
          <w:i/>
          <w:sz w:val="24"/>
          <w:szCs w:val="24"/>
          <w:lang w:eastAsia="en-GB"/>
        </w:rPr>
        <w:t>the action or suit be transferred to the High Court and the action or suit shall then be proceeded with as</w:t>
      </w:r>
      <w:r w:rsidR="00EA1D41" w:rsidRPr="001D7023">
        <w:rPr>
          <w:rFonts w:ascii="Times New Roman" w:hAnsi="Times New Roman"/>
          <w:i/>
          <w:sz w:val="24"/>
          <w:szCs w:val="24"/>
          <w:lang w:eastAsia="en-GB"/>
        </w:rPr>
        <w:t xml:space="preserve"> </w:t>
      </w:r>
      <w:r w:rsidRPr="001D7023">
        <w:rPr>
          <w:rFonts w:ascii="Times New Roman" w:hAnsi="Times New Roman"/>
          <w:i/>
          <w:sz w:val="24"/>
          <w:szCs w:val="24"/>
          <w:lang w:eastAsia="en-GB"/>
        </w:rPr>
        <w:t>if such action or suit had been originally instituted therein.</w:t>
      </w:r>
      <w:r w:rsidR="00001117" w:rsidRPr="001D7023">
        <w:rPr>
          <w:rFonts w:ascii="Times New Roman" w:hAnsi="Times New Roman"/>
          <w:i/>
          <w:sz w:val="24"/>
          <w:szCs w:val="24"/>
          <w:lang w:eastAsia="en-GB"/>
        </w:rPr>
        <w:t>”</w:t>
      </w:r>
    </w:p>
    <w:p w:rsidR="00EA1D41" w:rsidRPr="001D7023" w:rsidRDefault="00EA1D41" w:rsidP="001D7023">
      <w:pPr>
        <w:autoSpaceDE w:val="0"/>
        <w:autoSpaceDN w:val="0"/>
        <w:adjustRightInd w:val="0"/>
        <w:spacing w:after="0" w:line="240" w:lineRule="auto"/>
        <w:jc w:val="both"/>
        <w:rPr>
          <w:rFonts w:ascii="Times New Roman" w:hAnsi="Times New Roman"/>
          <w:sz w:val="28"/>
          <w:szCs w:val="28"/>
        </w:rPr>
      </w:pPr>
    </w:p>
    <w:p w:rsidR="005725D8" w:rsidRPr="001D7023" w:rsidRDefault="00EA1D41" w:rsidP="001D7023">
      <w:pPr>
        <w:autoSpaceDE w:val="0"/>
        <w:autoSpaceDN w:val="0"/>
        <w:adjustRightInd w:val="0"/>
        <w:spacing w:after="0" w:line="240" w:lineRule="auto"/>
        <w:jc w:val="both"/>
        <w:rPr>
          <w:rFonts w:ascii="Times New Roman" w:hAnsi="Times New Roman"/>
          <w:sz w:val="28"/>
          <w:szCs w:val="28"/>
        </w:rPr>
      </w:pPr>
      <w:r w:rsidRPr="001D7023">
        <w:rPr>
          <w:rFonts w:ascii="Times New Roman" w:hAnsi="Times New Roman"/>
          <w:sz w:val="28"/>
          <w:szCs w:val="28"/>
        </w:rPr>
        <w:t>It will be observed that section 40 of the Courts Act</w:t>
      </w:r>
      <w:r w:rsidR="00F4438A" w:rsidRPr="001D7023">
        <w:rPr>
          <w:rFonts w:ascii="Times New Roman" w:hAnsi="Times New Roman"/>
          <w:sz w:val="28"/>
          <w:szCs w:val="28"/>
        </w:rPr>
        <w:t xml:space="preserve"> allows the High Court, and not the subordinate court itself, to transfer a case from a subordinate court w</w:t>
      </w:r>
      <w:r w:rsidR="00840668" w:rsidRPr="001D7023">
        <w:rPr>
          <w:rFonts w:ascii="Times New Roman" w:hAnsi="Times New Roman"/>
          <w:sz w:val="28"/>
          <w:szCs w:val="28"/>
        </w:rPr>
        <w:t>h</w:t>
      </w:r>
      <w:r w:rsidR="00F4438A" w:rsidRPr="001D7023">
        <w:rPr>
          <w:rFonts w:ascii="Times New Roman" w:hAnsi="Times New Roman"/>
          <w:sz w:val="28"/>
          <w:szCs w:val="28"/>
        </w:rPr>
        <w:t>ere a counterclaim exceeds the jurisdiction of the subordinate court</w:t>
      </w:r>
      <w:r w:rsidR="00001117" w:rsidRPr="001D7023">
        <w:rPr>
          <w:rFonts w:ascii="Times New Roman" w:hAnsi="Times New Roman"/>
          <w:sz w:val="28"/>
          <w:szCs w:val="28"/>
        </w:rPr>
        <w:t>.</w:t>
      </w:r>
    </w:p>
    <w:p w:rsidR="005725D8" w:rsidRPr="001D7023" w:rsidRDefault="005725D8" w:rsidP="001D7023">
      <w:pPr>
        <w:autoSpaceDE w:val="0"/>
        <w:autoSpaceDN w:val="0"/>
        <w:adjustRightInd w:val="0"/>
        <w:spacing w:after="0" w:line="240" w:lineRule="auto"/>
        <w:jc w:val="both"/>
        <w:rPr>
          <w:rFonts w:ascii="Times New Roman" w:hAnsi="Times New Roman"/>
          <w:sz w:val="28"/>
          <w:szCs w:val="28"/>
        </w:rPr>
      </w:pPr>
    </w:p>
    <w:p w:rsidR="00F4438A" w:rsidRPr="001D7023" w:rsidRDefault="00683F8C" w:rsidP="001D7023">
      <w:pPr>
        <w:autoSpaceDE w:val="0"/>
        <w:autoSpaceDN w:val="0"/>
        <w:adjustRightInd w:val="0"/>
        <w:spacing w:after="0" w:line="240" w:lineRule="auto"/>
        <w:jc w:val="both"/>
        <w:rPr>
          <w:rFonts w:ascii="Times New Roman" w:hAnsi="Times New Roman"/>
          <w:sz w:val="28"/>
          <w:szCs w:val="28"/>
          <w:lang w:eastAsia="en-GB"/>
        </w:rPr>
      </w:pPr>
      <w:r w:rsidRPr="001D7023">
        <w:rPr>
          <w:rFonts w:ascii="Times New Roman" w:hAnsi="Times New Roman"/>
          <w:sz w:val="28"/>
          <w:szCs w:val="28"/>
        </w:rPr>
        <w:t>Section 26 of the Courts Act vests the High Court with g</w:t>
      </w:r>
      <w:r w:rsidR="00F4438A" w:rsidRPr="001D7023">
        <w:rPr>
          <w:rFonts w:ascii="Times New Roman" w:hAnsi="Times New Roman"/>
          <w:sz w:val="28"/>
          <w:szCs w:val="28"/>
          <w:lang w:eastAsia="en-GB"/>
        </w:rPr>
        <w:t>eneral supervisory</w:t>
      </w:r>
      <w:r w:rsidRPr="001D7023">
        <w:rPr>
          <w:rFonts w:ascii="Times New Roman" w:hAnsi="Times New Roman"/>
          <w:sz w:val="28"/>
          <w:szCs w:val="28"/>
          <w:lang w:eastAsia="en-GB"/>
        </w:rPr>
        <w:t xml:space="preserve"> </w:t>
      </w:r>
      <w:r w:rsidR="00F4438A" w:rsidRPr="001D7023">
        <w:rPr>
          <w:rFonts w:ascii="Times New Roman" w:hAnsi="Times New Roman"/>
          <w:sz w:val="28"/>
          <w:szCs w:val="28"/>
          <w:lang w:eastAsia="en-GB"/>
        </w:rPr>
        <w:t xml:space="preserve">and revisionary jurisdiction </w:t>
      </w:r>
      <w:r w:rsidRPr="001D7023">
        <w:rPr>
          <w:rFonts w:ascii="Times New Roman" w:hAnsi="Times New Roman"/>
          <w:sz w:val="28"/>
          <w:szCs w:val="28"/>
          <w:lang w:eastAsia="en-GB"/>
        </w:rPr>
        <w:t xml:space="preserve">over all subordinate courts. In this regard, the High Court </w:t>
      </w:r>
      <w:r w:rsidR="00F4438A" w:rsidRPr="001D7023">
        <w:rPr>
          <w:rFonts w:ascii="Times New Roman" w:hAnsi="Times New Roman"/>
          <w:sz w:val="28"/>
          <w:szCs w:val="28"/>
          <w:lang w:eastAsia="en-GB"/>
        </w:rPr>
        <w:t>may if it appears desirable in</w:t>
      </w:r>
      <w:r w:rsidRPr="001D7023">
        <w:rPr>
          <w:rFonts w:ascii="Times New Roman" w:hAnsi="Times New Roman"/>
          <w:sz w:val="28"/>
          <w:szCs w:val="28"/>
          <w:lang w:eastAsia="en-GB"/>
        </w:rPr>
        <w:t xml:space="preserve"> </w:t>
      </w:r>
      <w:r w:rsidR="00F4438A" w:rsidRPr="001D7023">
        <w:rPr>
          <w:rFonts w:ascii="Times New Roman" w:hAnsi="Times New Roman"/>
          <w:sz w:val="28"/>
          <w:szCs w:val="28"/>
          <w:lang w:eastAsia="en-GB"/>
        </w:rPr>
        <w:t>the interests of justice, either of its own motion or at the instance of any party or person interested at</w:t>
      </w:r>
      <w:r w:rsidRPr="001D7023">
        <w:rPr>
          <w:rFonts w:ascii="Times New Roman" w:hAnsi="Times New Roman"/>
          <w:sz w:val="28"/>
          <w:szCs w:val="28"/>
          <w:lang w:eastAsia="en-GB"/>
        </w:rPr>
        <w:t xml:space="preserve"> </w:t>
      </w:r>
      <w:r w:rsidR="00F4438A" w:rsidRPr="001D7023">
        <w:rPr>
          <w:rFonts w:ascii="Times New Roman" w:hAnsi="Times New Roman"/>
          <w:sz w:val="28"/>
          <w:szCs w:val="28"/>
          <w:lang w:eastAsia="en-GB"/>
        </w:rPr>
        <w:t>any stage in any matter or proceeding, whether civil or criminal, in any subordinate court, call for the</w:t>
      </w:r>
      <w:r w:rsidRPr="001D7023">
        <w:rPr>
          <w:rFonts w:ascii="Times New Roman" w:hAnsi="Times New Roman"/>
          <w:sz w:val="28"/>
          <w:szCs w:val="28"/>
          <w:lang w:eastAsia="en-GB"/>
        </w:rPr>
        <w:t xml:space="preserve"> </w:t>
      </w:r>
      <w:r w:rsidR="00F4438A" w:rsidRPr="001D7023">
        <w:rPr>
          <w:rFonts w:ascii="Times New Roman" w:hAnsi="Times New Roman"/>
          <w:sz w:val="28"/>
          <w:szCs w:val="28"/>
          <w:lang w:eastAsia="en-GB"/>
        </w:rPr>
        <w:t>record thereof and may remove the same into the High Court or may give to such subordinate court</w:t>
      </w:r>
      <w:r w:rsidRPr="001D7023">
        <w:rPr>
          <w:rFonts w:ascii="Times New Roman" w:hAnsi="Times New Roman"/>
          <w:sz w:val="28"/>
          <w:szCs w:val="28"/>
          <w:lang w:eastAsia="en-GB"/>
        </w:rPr>
        <w:t xml:space="preserve"> </w:t>
      </w:r>
      <w:r w:rsidR="00F4438A" w:rsidRPr="001D7023">
        <w:rPr>
          <w:rFonts w:ascii="Times New Roman" w:hAnsi="Times New Roman"/>
          <w:sz w:val="28"/>
          <w:szCs w:val="28"/>
          <w:lang w:eastAsia="en-GB"/>
        </w:rPr>
        <w:t>such directions as to the further conduct of the same as justice may require.</w:t>
      </w:r>
    </w:p>
    <w:p w:rsidR="005725D8" w:rsidRPr="001D7023" w:rsidRDefault="005725D8" w:rsidP="001D7023">
      <w:pPr>
        <w:autoSpaceDE w:val="0"/>
        <w:autoSpaceDN w:val="0"/>
        <w:adjustRightInd w:val="0"/>
        <w:spacing w:after="0" w:line="240" w:lineRule="auto"/>
        <w:jc w:val="both"/>
        <w:rPr>
          <w:rFonts w:ascii="Times New Roman" w:hAnsi="Times New Roman"/>
          <w:sz w:val="28"/>
          <w:szCs w:val="28"/>
          <w:lang w:eastAsia="en-GB"/>
        </w:rPr>
      </w:pPr>
    </w:p>
    <w:p w:rsidR="001D7023" w:rsidRPr="001D7023" w:rsidRDefault="00683F8C" w:rsidP="001D7023">
      <w:pPr>
        <w:autoSpaceDE w:val="0"/>
        <w:autoSpaceDN w:val="0"/>
        <w:adjustRightInd w:val="0"/>
        <w:spacing w:after="0" w:line="240" w:lineRule="auto"/>
        <w:jc w:val="both"/>
        <w:rPr>
          <w:rFonts w:ascii="Times New Roman" w:hAnsi="Times New Roman"/>
          <w:sz w:val="28"/>
          <w:szCs w:val="28"/>
          <w:lang w:eastAsia="en-GB"/>
        </w:rPr>
      </w:pPr>
      <w:r w:rsidRPr="001D7023">
        <w:rPr>
          <w:rFonts w:ascii="Times New Roman" w:hAnsi="Times New Roman"/>
          <w:sz w:val="28"/>
          <w:szCs w:val="28"/>
          <w:lang w:eastAsia="en-GB"/>
        </w:rPr>
        <w:t xml:space="preserve">Section </w:t>
      </w:r>
      <w:r w:rsidR="00F4438A" w:rsidRPr="001D7023">
        <w:rPr>
          <w:rFonts w:ascii="Times New Roman" w:hAnsi="Times New Roman"/>
          <w:sz w:val="28"/>
          <w:szCs w:val="28"/>
          <w:lang w:eastAsia="en-GB"/>
        </w:rPr>
        <w:t>41</w:t>
      </w:r>
      <w:r w:rsidRPr="001D7023">
        <w:rPr>
          <w:rFonts w:ascii="Times New Roman" w:hAnsi="Times New Roman"/>
          <w:sz w:val="28"/>
          <w:szCs w:val="28"/>
          <w:lang w:eastAsia="en-GB"/>
        </w:rPr>
        <w:t xml:space="preserve"> of the Courts Act provides that a </w:t>
      </w:r>
      <w:r w:rsidR="00F4438A" w:rsidRPr="001D7023">
        <w:rPr>
          <w:rFonts w:ascii="Times New Roman" w:hAnsi="Times New Roman"/>
          <w:sz w:val="28"/>
          <w:szCs w:val="28"/>
          <w:lang w:eastAsia="en-GB"/>
        </w:rPr>
        <w:t>plaintiff may relinquish any portion of his claim in order to bring the action or suit within the</w:t>
      </w:r>
      <w:r w:rsidRPr="001D7023">
        <w:rPr>
          <w:rFonts w:ascii="Times New Roman" w:hAnsi="Times New Roman"/>
          <w:sz w:val="28"/>
          <w:szCs w:val="28"/>
          <w:lang w:eastAsia="en-GB"/>
        </w:rPr>
        <w:t xml:space="preserve"> </w:t>
      </w:r>
      <w:r w:rsidR="00F4438A" w:rsidRPr="001D7023">
        <w:rPr>
          <w:rFonts w:ascii="Times New Roman" w:hAnsi="Times New Roman"/>
          <w:sz w:val="28"/>
          <w:szCs w:val="28"/>
          <w:lang w:eastAsia="en-GB"/>
        </w:rPr>
        <w:t xml:space="preserve">jurisdiction of a subordinate </w:t>
      </w:r>
    </w:p>
    <w:p w:rsidR="001D7023" w:rsidRPr="001D7023" w:rsidRDefault="00F4438A" w:rsidP="001D7023">
      <w:pPr>
        <w:autoSpaceDE w:val="0"/>
        <w:autoSpaceDN w:val="0"/>
        <w:adjustRightInd w:val="0"/>
        <w:spacing w:after="0" w:line="240" w:lineRule="auto"/>
        <w:jc w:val="both"/>
        <w:rPr>
          <w:rFonts w:ascii="Times New Roman" w:hAnsi="Times New Roman"/>
          <w:sz w:val="28"/>
          <w:szCs w:val="28"/>
          <w:lang w:eastAsia="en-GB"/>
        </w:rPr>
      </w:pPr>
      <w:proofErr w:type="gramStart"/>
      <w:r w:rsidRPr="001D7023">
        <w:rPr>
          <w:rFonts w:ascii="Times New Roman" w:hAnsi="Times New Roman"/>
          <w:sz w:val="28"/>
          <w:szCs w:val="28"/>
          <w:lang w:eastAsia="en-GB"/>
        </w:rPr>
        <w:lastRenderedPageBreak/>
        <w:t>court</w:t>
      </w:r>
      <w:proofErr w:type="gramEnd"/>
      <w:r w:rsidRPr="001D7023">
        <w:rPr>
          <w:rFonts w:ascii="Times New Roman" w:hAnsi="Times New Roman"/>
          <w:sz w:val="28"/>
          <w:szCs w:val="28"/>
          <w:lang w:eastAsia="en-GB"/>
        </w:rPr>
        <w:t>, but he shall not afterwards sue in respect of the portion so</w:t>
      </w:r>
      <w:r w:rsidR="00683F8C" w:rsidRPr="001D7023">
        <w:rPr>
          <w:rFonts w:ascii="Times New Roman" w:hAnsi="Times New Roman"/>
          <w:sz w:val="28"/>
          <w:szCs w:val="28"/>
          <w:lang w:eastAsia="en-GB"/>
        </w:rPr>
        <w:t xml:space="preserve"> </w:t>
      </w:r>
      <w:r w:rsidRPr="001D7023">
        <w:rPr>
          <w:rFonts w:ascii="Times New Roman" w:hAnsi="Times New Roman"/>
          <w:sz w:val="28"/>
          <w:szCs w:val="28"/>
          <w:lang w:eastAsia="en-GB"/>
        </w:rPr>
        <w:t>relinquished</w:t>
      </w:r>
      <w:r w:rsidR="00683F8C" w:rsidRPr="001D7023">
        <w:rPr>
          <w:rFonts w:ascii="Times New Roman" w:hAnsi="Times New Roman"/>
          <w:sz w:val="28"/>
          <w:szCs w:val="28"/>
          <w:lang w:eastAsia="en-GB"/>
        </w:rPr>
        <w:t>.</w:t>
      </w:r>
      <w:r w:rsidR="00E108FB" w:rsidRPr="001D7023">
        <w:rPr>
          <w:rFonts w:ascii="Times New Roman" w:hAnsi="Times New Roman"/>
          <w:sz w:val="28"/>
          <w:szCs w:val="28"/>
          <w:lang w:eastAsia="en-GB"/>
        </w:rPr>
        <w:t xml:space="preserve"> It is noteworthy that this section does not in </w:t>
      </w:r>
      <w:r w:rsidR="007C69D7" w:rsidRPr="001D7023">
        <w:rPr>
          <w:rFonts w:ascii="Times New Roman" w:hAnsi="Times New Roman"/>
          <w:sz w:val="28"/>
          <w:szCs w:val="28"/>
          <w:lang w:eastAsia="en-GB"/>
        </w:rPr>
        <w:t>any way</w:t>
      </w:r>
      <w:r w:rsidR="00E108FB" w:rsidRPr="001D7023">
        <w:rPr>
          <w:rFonts w:ascii="Times New Roman" w:hAnsi="Times New Roman"/>
          <w:sz w:val="28"/>
          <w:szCs w:val="28"/>
          <w:lang w:eastAsia="en-GB"/>
        </w:rPr>
        <w:t xml:space="preserve"> empower the subordinate court to transfer such an action to the High Court</w:t>
      </w:r>
      <w:r w:rsidR="005725D8" w:rsidRPr="001D7023">
        <w:rPr>
          <w:rFonts w:ascii="Times New Roman" w:hAnsi="Times New Roman"/>
          <w:sz w:val="28"/>
          <w:szCs w:val="28"/>
          <w:lang w:eastAsia="en-GB"/>
        </w:rPr>
        <w:t>.</w:t>
      </w:r>
      <w:r w:rsidR="00E108FB" w:rsidRPr="001D7023">
        <w:rPr>
          <w:rFonts w:ascii="Times New Roman" w:hAnsi="Times New Roman"/>
          <w:sz w:val="28"/>
          <w:szCs w:val="28"/>
          <w:lang w:eastAsia="en-GB"/>
        </w:rPr>
        <w:t xml:space="preserve"> </w:t>
      </w:r>
    </w:p>
    <w:p w:rsidR="001D7023" w:rsidRPr="001D7023" w:rsidRDefault="001D7023" w:rsidP="001D7023">
      <w:pPr>
        <w:autoSpaceDE w:val="0"/>
        <w:autoSpaceDN w:val="0"/>
        <w:adjustRightInd w:val="0"/>
        <w:spacing w:after="0" w:line="240" w:lineRule="auto"/>
        <w:jc w:val="both"/>
        <w:rPr>
          <w:rFonts w:ascii="Times New Roman" w:hAnsi="Times New Roman"/>
          <w:sz w:val="28"/>
          <w:szCs w:val="28"/>
          <w:lang w:eastAsia="en-GB"/>
        </w:rPr>
      </w:pPr>
    </w:p>
    <w:p w:rsidR="007C69D7" w:rsidRDefault="00683F8C" w:rsidP="001D7023">
      <w:pPr>
        <w:autoSpaceDE w:val="0"/>
        <w:autoSpaceDN w:val="0"/>
        <w:adjustRightInd w:val="0"/>
        <w:spacing w:after="0" w:line="240" w:lineRule="auto"/>
        <w:jc w:val="both"/>
        <w:rPr>
          <w:rFonts w:ascii="Times New Roman" w:hAnsi="Times New Roman"/>
          <w:sz w:val="28"/>
          <w:szCs w:val="28"/>
        </w:rPr>
      </w:pPr>
      <w:r w:rsidRPr="001D7023">
        <w:rPr>
          <w:rFonts w:ascii="Times New Roman" w:hAnsi="Times New Roman"/>
          <w:sz w:val="28"/>
          <w:szCs w:val="28"/>
          <w:lang w:eastAsia="en-GB"/>
        </w:rPr>
        <w:t xml:space="preserve">What comes out of the analysis of the above-mentioned sections is that the framers of the Courts Act </w:t>
      </w:r>
      <w:r w:rsidR="00ED5977" w:rsidRPr="001D7023">
        <w:rPr>
          <w:rFonts w:ascii="Times New Roman" w:hAnsi="Times New Roman"/>
          <w:sz w:val="28"/>
          <w:szCs w:val="28"/>
          <w:lang w:eastAsia="en-GB"/>
        </w:rPr>
        <w:t>went out of their way to spell out in clear and express terms that a subordinate court can only transfer proceedings to another subordinate court</w:t>
      </w:r>
      <w:r w:rsidR="00E66AD0" w:rsidRPr="001D7023">
        <w:rPr>
          <w:rFonts w:ascii="Times New Roman" w:hAnsi="Times New Roman"/>
          <w:sz w:val="28"/>
          <w:szCs w:val="28"/>
          <w:lang w:eastAsia="en-GB"/>
        </w:rPr>
        <w:t xml:space="preserve"> and</w:t>
      </w:r>
      <w:r w:rsidR="00001117" w:rsidRPr="001D7023">
        <w:rPr>
          <w:rFonts w:ascii="Times New Roman" w:hAnsi="Times New Roman"/>
          <w:sz w:val="28"/>
          <w:szCs w:val="28"/>
          <w:lang w:eastAsia="en-GB"/>
        </w:rPr>
        <w:t xml:space="preserve"> not to the High Court. </w:t>
      </w:r>
      <w:r w:rsidR="00001117" w:rsidRPr="001D7023">
        <w:rPr>
          <w:rFonts w:ascii="Times New Roman" w:hAnsi="Times New Roman"/>
          <w:sz w:val="28"/>
          <w:szCs w:val="28"/>
        </w:rPr>
        <w:t xml:space="preserve">The Courts Act also puts the matter in quite unambiguous </w:t>
      </w:r>
    </w:p>
    <w:p w:rsidR="007C69D7" w:rsidRDefault="007C69D7" w:rsidP="001D7023">
      <w:pPr>
        <w:autoSpaceDE w:val="0"/>
        <w:autoSpaceDN w:val="0"/>
        <w:adjustRightInd w:val="0"/>
        <w:spacing w:after="0" w:line="240" w:lineRule="auto"/>
        <w:jc w:val="both"/>
        <w:rPr>
          <w:rFonts w:ascii="Times New Roman" w:hAnsi="Times New Roman"/>
          <w:sz w:val="28"/>
          <w:szCs w:val="28"/>
        </w:rPr>
      </w:pPr>
    </w:p>
    <w:p w:rsidR="005E2D11" w:rsidRPr="001D7023" w:rsidRDefault="00001117" w:rsidP="001D7023">
      <w:pPr>
        <w:autoSpaceDE w:val="0"/>
        <w:autoSpaceDN w:val="0"/>
        <w:adjustRightInd w:val="0"/>
        <w:spacing w:after="0" w:line="240" w:lineRule="auto"/>
        <w:jc w:val="both"/>
        <w:rPr>
          <w:rFonts w:ascii="Times New Roman" w:hAnsi="Times New Roman"/>
          <w:sz w:val="28"/>
          <w:szCs w:val="28"/>
          <w:lang w:eastAsia="en-GB"/>
        </w:rPr>
      </w:pPr>
      <w:proofErr w:type="gramStart"/>
      <w:r w:rsidRPr="001D7023">
        <w:rPr>
          <w:rFonts w:ascii="Times New Roman" w:hAnsi="Times New Roman"/>
          <w:sz w:val="28"/>
          <w:szCs w:val="28"/>
        </w:rPr>
        <w:t>language</w:t>
      </w:r>
      <w:proofErr w:type="gramEnd"/>
      <w:r w:rsidRPr="001D7023">
        <w:rPr>
          <w:rFonts w:ascii="Times New Roman" w:hAnsi="Times New Roman"/>
          <w:sz w:val="28"/>
          <w:szCs w:val="28"/>
        </w:rPr>
        <w:t xml:space="preserve"> that </w:t>
      </w:r>
      <w:r w:rsidR="00ED5977" w:rsidRPr="001D7023">
        <w:rPr>
          <w:rFonts w:ascii="Times New Roman" w:hAnsi="Times New Roman"/>
          <w:sz w:val="28"/>
          <w:szCs w:val="28"/>
          <w:lang w:eastAsia="en-GB"/>
        </w:rPr>
        <w:t xml:space="preserve">it is the High Court that can </w:t>
      </w:r>
      <w:r w:rsidR="00ED5977" w:rsidRPr="001D7023">
        <w:rPr>
          <w:rFonts w:ascii="Times New Roman" w:hAnsi="Times New Roman"/>
          <w:sz w:val="28"/>
          <w:szCs w:val="28"/>
        </w:rPr>
        <w:t xml:space="preserve">transfer </w:t>
      </w:r>
      <w:r w:rsidR="00E66AD0" w:rsidRPr="001D7023">
        <w:rPr>
          <w:rFonts w:ascii="Times New Roman" w:hAnsi="Times New Roman"/>
          <w:sz w:val="28"/>
          <w:szCs w:val="28"/>
        </w:rPr>
        <w:t xml:space="preserve">to itself </w:t>
      </w:r>
      <w:r w:rsidR="00ED5977" w:rsidRPr="001D7023">
        <w:rPr>
          <w:rFonts w:ascii="Times New Roman" w:hAnsi="Times New Roman"/>
          <w:sz w:val="28"/>
          <w:szCs w:val="28"/>
        </w:rPr>
        <w:t xml:space="preserve">a case from a </w:t>
      </w:r>
      <w:r w:rsidRPr="001D7023">
        <w:rPr>
          <w:rFonts w:ascii="Times New Roman" w:hAnsi="Times New Roman"/>
          <w:sz w:val="28"/>
          <w:szCs w:val="28"/>
        </w:rPr>
        <w:t>s</w:t>
      </w:r>
      <w:r w:rsidR="00ED5977" w:rsidRPr="001D7023">
        <w:rPr>
          <w:rFonts w:ascii="Times New Roman" w:hAnsi="Times New Roman"/>
          <w:sz w:val="28"/>
          <w:szCs w:val="28"/>
        </w:rPr>
        <w:t>ubor</w:t>
      </w:r>
      <w:r w:rsidR="00E66AD0" w:rsidRPr="001D7023">
        <w:rPr>
          <w:rFonts w:ascii="Times New Roman" w:hAnsi="Times New Roman"/>
          <w:sz w:val="28"/>
          <w:szCs w:val="28"/>
        </w:rPr>
        <w:t>dinate court.</w:t>
      </w:r>
      <w:r w:rsidR="005E2D11" w:rsidRPr="001D7023">
        <w:rPr>
          <w:rFonts w:ascii="Times New Roman" w:hAnsi="Times New Roman"/>
          <w:sz w:val="28"/>
          <w:szCs w:val="28"/>
        </w:rPr>
        <w:t xml:space="preserve"> Neither </w:t>
      </w:r>
      <w:r w:rsidR="00E66AD0" w:rsidRPr="001D7023">
        <w:rPr>
          <w:rFonts w:ascii="Times New Roman" w:hAnsi="Times New Roman"/>
          <w:sz w:val="28"/>
          <w:szCs w:val="28"/>
        </w:rPr>
        <w:t xml:space="preserve">the Courts Act </w:t>
      </w:r>
      <w:r w:rsidR="005E2D11" w:rsidRPr="001D7023">
        <w:rPr>
          <w:rFonts w:ascii="Times New Roman" w:hAnsi="Times New Roman"/>
          <w:sz w:val="28"/>
          <w:szCs w:val="28"/>
        </w:rPr>
        <w:t xml:space="preserve">nor the </w:t>
      </w:r>
      <w:r w:rsidRPr="001D7023">
        <w:rPr>
          <w:rFonts w:ascii="Times New Roman" w:hAnsi="Times New Roman"/>
          <w:sz w:val="28"/>
          <w:szCs w:val="28"/>
        </w:rPr>
        <w:t xml:space="preserve">Subordinate Court Rules empowers </w:t>
      </w:r>
      <w:r w:rsidR="005E2D11" w:rsidRPr="001D7023">
        <w:rPr>
          <w:rFonts w:ascii="Times New Roman" w:hAnsi="Times New Roman"/>
          <w:sz w:val="28"/>
          <w:szCs w:val="28"/>
        </w:rPr>
        <w:t>a magistrate court to “refer” or “defer” a matter to the High Court.</w:t>
      </w:r>
    </w:p>
    <w:p w:rsidR="001D7023" w:rsidRPr="001D7023" w:rsidRDefault="001D7023" w:rsidP="001D7023">
      <w:pPr>
        <w:spacing w:line="240" w:lineRule="auto"/>
        <w:jc w:val="both"/>
        <w:rPr>
          <w:rFonts w:ascii="Times New Roman" w:hAnsi="Times New Roman"/>
          <w:sz w:val="28"/>
          <w:szCs w:val="28"/>
        </w:rPr>
      </w:pPr>
    </w:p>
    <w:p w:rsidR="0074646D" w:rsidRPr="001D7023" w:rsidRDefault="005E2D11" w:rsidP="001D7023">
      <w:pPr>
        <w:spacing w:line="240" w:lineRule="auto"/>
        <w:jc w:val="both"/>
        <w:rPr>
          <w:rFonts w:ascii="Times New Roman" w:hAnsi="Times New Roman"/>
          <w:sz w:val="28"/>
          <w:szCs w:val="28"/>
        </w:rPr>
      </w:pPr>
      <w:r w:rsidRPr="001D7023">
        <w:rPr>
          <w:rFonts w:ascii="Times New Roman" w:hAnsi="Times New Roman"/>
          <w:sz w:val="28"/>
          <w:szCs w:val="28"/>
        </w:rPr>
        <w:t xml:space="preserve">In this regard, I agree with Counsel </w:t>
      </w:r>
      <w:proofErr w:type="spellStart"/>
      <w:r w:rsidRPr="001D7023">
        <w:rPr>
          <w:rFonts w:ascii="Times New Roman" w:hAnsi="Times New Roman"/>
          <w:sz w:val="28"/>
          <w:szCs w:val="28"/>
        </w:rPr>
        <w:t>Ulaya</w:t>
      </w:r>
      <w:proofErr w:type="spellEnd"/>
      <w:r w:rsidRPr="001D7023">
        <w:rPr>
          <w:rFonts w:ascii="Times New Roman" w:hAnsi="Times New Roman"/>
          <w:sz w:val="28"/>
          <w:szCs w:val="28"/>
        </w:rPr>
        <w:t xml:space="preserve"> that the order by the lower court was </w:t>
      </w:r>
      <w:r w:rsidRPr="007C69D7">
        <w:rPr>
          <w:rFonts w:ascii="Times New Roman" w:hAnsi="Times New Roman"/>
          <w:sz w:val="28"/>
          <w:szCs w:val="28"/>
          <w:u w:val="single"/>
        </w:rPr>
        <w:t>ultra vires</w:t>
      </w:r>
      <w:r w:rsidRPr="001D7023">
        <w:rPr>
          <w:rFonts w:ascii="Times New Roman" w:hAnsi="Times New Roman"/>
          <w:sz w:val="28"/>
          <w:szCs w:val="28"/>
        </w:rPr>
        <w:t xml:space="preserve">. A magistrate court, whose jurisdiction is essentially statutory, cannot under the Courts Act refer or transfer a case to the High Court for want of jurisdiction. I am </w:t>
      </w:r>
      <w:r w:rsidR="0074646D" w:rsidRPr="001D7023">
        <w:rPr>
          <w:rFonts w:ascii="Times New Roman" w:hAnsi="Times New Roman"/>
          <w:sz w:val="28"/>
          <w:szCs w:val="28"/>
        </w:rPr>
        <w:t xml:space="preserve">fortified </w:t>
      </w:r>
      <w:r w:rsidRPr="001D7023">
        <w:rPr>
          <w:rFonts w:ascii="Times New Roman" w:hAnsi="Times New Roman"/>
          <w:sz w:val="28"/>
          <w:szCs w:val="28"/>
        </w:rPr>
        <w:t xml:space="preserve">in my decision </w:t>
      </w:r>
      <w:r w:rsidR="0074646D" w:rsidRPr="001D7023">
        <w:rPr>
          <w:rFonts w:ascii="Times New Roman" w:hAnsi="Times New Roman"/>
          <w:sz w:val="28"/>
          <w:szCs w:val="28"/>
        </w:rPr>
        <w:t xml:space="preserve">by the </w:t>
      </w:r>
      <w:r w:rsidR="00B95AB8" w:rsidRPr="001D7023">
        <w:rPr>
          <w:rFonts w:ascii="Times New Roman" w:hAnsi="Times New Roman"/>
          <w:sz w:val="28"/>
          <w:szCs w:val="28"/>
        </w:rPr>
        <w:t>Latin</w:t>
      </w:r>
      <w:r w:rsidR="0074646D" w:rsidRPr="001D7023">
        <w:rPr>
          <w:rFonts w:ascii="Times New Roman" w:hAnsi="Times New Roman"/>
          <w:sz w:val="28"/>
          <w:szCs w:val="28"/>
        </w:rPr>
        <w:t xml:space="preserve"> maxim “</w:t>
      </w:r>
      <w:r w:rsidR="0074646D" w:rsidRPr="001D7023">
        <w:rPr>
          <w:rFonts w:ascii="Times New Roman" w:hAnsi="Times New Roman"/>
          <w:sz w:val="28"/>
          <w:szCs w:val="28"/>
          <w:u w:val="single"/>
        </w:rPr>
        <w:t xml:space="preserve">expression </w:t>
      </w:r>
      <w:proofErr w:type="spellStart"/>
      <w:r w:rsidR="0074646D" w:rsidRPr="001D7023">
        <w:rPr>
          <w:rFonts w:ascii="Times New Roman" w:hAnsi="Times New Roman"/>
          <w:sz w:val="28"/>
          <w:szCs w:val="28"/>
          <w:u w:val="single"/>
        </w:rPr>
        <w:t>unius</w:t>
      </w:r>
      <w:proofErr w:type="spellEnd"/>
      <w:r w:rsidR="0074646D" w:rsidRPr="001D7023">
        <w:rPr>
          <w:rFonts w:ascii="Times New Roman" w:hAnsi="Times New Roman"/>
          <w:sz w:val="28"/>
          <w:szCs w:val="28"/>
          <w:u w:val="single"/>
        </w:rPr>
        <w:t xml:space="preserve"> </w:t>
      </w:r>
      <w:proofErr w:type="spellStart"/>
      <w:r w:rsidR="0074646D" w:rsidRPr="001D7023">
        <w:rPr>
          <w:rFonts w:ascii="Times New Roman" w:hAnsi="Times New Roman"/>
          <w:sz w:val="28"/>
          <w:szCs w:val="28"/>
          <w:u w:val="single"/>
        </w:rPr>
        <w:t>est</w:t>
      </w:r>
      <w:proofErr w:type="spellEnd"/>
      <w:r w:rsidR="0074646D" w:rsidRPr="001D7023">
        <w:rPr>
          <w:rFonts w:ascii="Times New Roman" w:hAnsi="Times New Roman"/>
          <w:sz w:val="28"/>
          <w:szCs w:val="28"/>
          <w:u w:val="single"/>
        </w:rPr>
        <w:t xml:space="preserve"> exclusion </w:t>
      </w:r>
      <w:proofErr w:type="spellStart"/>
      <w:r w:rsidR="0074646D" w:rsidRPr="001D7023">
        <w:rPr>
          <w:rFonts w:ascii="Times New Roman" w:hAnsi="Times New Roman"/>
          <w:sz w:val="28"/>
          <w:szCs w:val="28"/>
          <w:u w:val="single"/>
        </w:rPr>
        <w:t>alterious</w:t>
      </w:r>
      <w:proofErr w:type="spellEnd"/>
      <w:r w:rsidR="0074646D" w:rsidRPr="001D7023">
        <w:rPr>
          <w:rFonts w:ascii="Times New Roman" w:hAnsi="Times New Roman"/>
          <w:sz w:val="28"/>
          <w:szCs w:val="28"/>
          <w:u w:val="single"/>
        </w:rPr>
        <w:t>”</w:t>
      </w:r>
      <w:r w:rsidR="0074646D" w:rsidRPr="001D7023">
        <w:rPr>
          <w:rFonts w:ascii="Times New Roman" w:hAnsi="Times New Roman"/>
          <w:sz w:val="28"/>
          <w:szCs w:val="28"/>
        </w:rPr>
        <w:t xml:space="preserve">, that is, the expression of one thing is the exclusion of another. Under this maxim, the mention of one thing within a statute, contract, will and the like implies the exclusion of another thing not so mentioned. The maxim, though not a rule of law, is an aid to construction. According to </w:t>
      </w:r>
      <w:r w:rsidR="0074646D" w:rsidRPr="001D7023">
        <w:rPr>
          <w:rFonts w:ascii="Times New Roman" w:hAnsi="Times New Roman"/>
          <w:sz w:val="28"/>
          <w:szCs w:val="28"/>
          <w:u w:val="single"/>
        </w:rPr>
        <w:t>Baron’s Law Dictionary, 9</w:t>
      </w:r>
      <w:r w:rsidR="0074646D" w:rsidRPr="001D7023">
        <w:rPr>
          <w:rFonts w:ascii="Times New Roman" w:hAnsi="Times New Roman"/>
          <w:sz w:val="28"/>
          <w:szCs w:val="28"/>
          <w:u w:val="single"/>
          <w:vertAlign w:val="superscript"/>
        </w:rPr>
        <w:t>th</w:t>
      </w:r>
      <w:r w:rsidR="0074646D" w:rsidRPr="001D7023">
        <w:rPr>
          <w:rFonts w:ascii="Times New Roman" w:hAnsi="Times New Roman"/>
          <w:sz w:val="28"/>
          <w:szCs w:val="28"/>
          <w:u w:val="single"/>
        </w:rPr>
        <w:t xml:space="preserve"> Edition</w:t>
      </w:r>
      <w:r w:rsidR="0074646D" w:rsidRPr="001D7023">
        <w:rPr>
          <w:rFonts w:ascii="Times New Roman" w:hAnsi="Times New Roman"/>
          <w:sz w:val="28"/>
          <w:szCs w:val="28"/>
        </w:rPr>
        <w:t>,</w:t>
      </w:r>
      <w:r w:rsidR="00964E57" w:rsidRPr="001D7023">
        <w:rPr>
          <w:rFonts w:ascii="Times New Roman" w:hAnsi="Times New Roman"/>
          <w:sz w:val="28"/>
          <w:szCs w:val="28"/>
        </w:rPr>
        <w:t xml:space="preserve"> the maxim has application when:</w:t>
      </w:r>
    </w:p>
    <w:p w:rsidR="0074646D" w:rsidRPr="001D7023" w:rsidRDefault="0074646D" w:rsidP="001D7023">
      <w:pPr>
        <w:spacing w:line="240" w:lineRule="auto"/>
        <w:ind w:left="720"/>
        <w:jc w:val="both"/>
        <w:rPr>
          <w:rFonts w:ascii="Times New Roman" w:hAnsi="Times New Roman"/>
          <w:i/>
          <w:sz w:val="24"/>
          <w:szCs w:val="24"/>
        </w:rPr>
      </w:pPr>
      <w:r w:rsidRPr="001D7023">
        <w:rPr>
          <w:rFonts w:ascii="Times New Roman" w:hAnsi="Times New Roman"/>
          <w:i/>
          <w:sz w:val="24"/>
          <w:szCs w:val="24"/>
        </w:rPr>
        <w:t>“</w:t>
      </w:r>
      <w:proofErr w:type="gramStart"/>
      <w:r w:rsidRPr="001D7023">
        <w:rPr>
          <w:rFonts w:ascii="Times New Roman" w:hAnsi="Times New Roman"/>
          <w:i/>
          <w:sz w:val="24"/>
          <w:szCs w:val="24"/>
        </w:rPr>
        <w:t>in</w:t>
      </w:r>
      <w:proofErr w:type="gramEnd"/>
      <w:r w:rsidRPr="001D7023">
        <w:rPr>
          <w:rFonts w:ascii="Times New Roman" w:hAnsi="Times New Roman"/>
          <w:i/>
          <w:sz w:val="24"/>
          <w:szCs w:val="24"/>
        </w:rPr>
        <w:t xml:space="preserve"> the natural association of ideas, that which is expressed is so set over by way of contrast to that which is omitted that the contrast enforces the affirmative inference that that which is omitted must be intended to have opposite and contrary treatment. Thus a statute granting certain rights to “police, fire, and sanitation employees” would be interpreted to exclude other public officers not enumerated in the statute. This is based</w:t>
      </w:r>
      <w:r w:rsidR="005725D8" w:rsidRPr="001D7023">
        <w:rPr>
          <w:rFonts w:ascii="Times New Roman" w:hAnsi="Times New Roman"/>
          <w:i/>
          <w:sz w:val="24"/>
          <w:szCs w:val="24"/>
        </w:rPr>
        <w:t xml:space="preserve"> </w:t>
      </w:r>
      <w:r w:rsidRPr="001D7023">
        <w:rPr>
          <w:rFonts w:ascii="Times New Roman" w:hAnsi="Times New Roman"/>
          <w:i/>
          <w:sz w:val="24"/>
          <w:szCs w:val="24"/>
        </w:rPr>
        <w:t>on presumed legislative intent. As such, a court is free to draw a different conclusion where for some reason this intent cannot be reasonably inferred.”</w:t>
      </w:r>
    </w:p>
    <w:p w:rsidR="0074646D" w:rsidRPr="001D7023" w:rsidRDefault="0074646D" w:rsidP="001D7023">
      <w:pPr>
        <w:spacing w:line="240" w:lineRule="auto"/>
        <w:jc w:val="both"/>
        <w:rPr>
          <w:rFonts w:ascii="Times New Roman" w:hAnsi="Times New Roman"/>
          <w:i/>
          <w:sz w:val="24"/>
          <w:szCs w:val="24"/>
        </w:rPr>
      </w:pPr>
      <w:r w:rsidRPr="001D7023">
        <w:rPr>
          <w:rFonts w:ascii="Times New Roman" w:hAnsi="Times New Roman"/>
          <w:sz w:val="28"/>
          <w:szCs w:val="28"/>
        </w:rPr>
        <w:t xml:space="preserve">The maxim has been repeatedly applied by our courts. For example, in the case of the </w:t>
      </w:r>
      <w:r w:rsidRPr="001D7023">
        <w:rPr>
          <w:rFonts w:ascii="Times New Roman" w:hAnsi="Times New Roman"/>
          <w:b/>
          <w:sz w:val="28"/>
          <w:szCs w:val="28"/>
        </w:rPr>
        <w:t>Registered Trustees of the Public Affairs Committee v</w:t>
      </w:r>
      <w:r w:rsidR="00964E57" w:rsidRPr="001D7023">
        <w:rPr>
          <w:rFonts w:ascii="Times New Roman" w:hAnsi="Times New Roman"/>
          <w:b/>
          <w:sz w:val="28"/>
          <w:szCs w:val="28"/>
        </w:rPr>
        <w:t>.</w:t>
      </w:r>
      <w:r w:rsidRPr="001D7023">
        <w:rPr>
          <w:rFonts w:ascii="Times New Roman" w:hAnsi="Times New Roman"/>
          <w:b/>
          <w:sz w:val="28"/>
          <w:szCs w:val="28"/>
        </w:rPr>
        <w:t xml:space="preserve"> Attorney General and the Speaker of the National Assembly and the Malawi Human Rights Commission, HC/PR Civil Cause 1861 of 2003(unreported), </w:t>
      </w:r>
      <w:r w:rsidRPr="001D7023">
        <w:rPr>
          <w:rFonts w:ascii="Times New Roman" w:hAnsi="Times New Roman"/>
          <w:sz w:val="28"/>
          <w:szCs w:val="28"/>
        </w:rPr>
        <w:t xml:space="preserve">Justice </w:t>
      </w:r>
      <w:proofErr w:type="spellStart"/>
      <w:r w:rsidRPr="001D7023">
        <w:rPr>
          <w:rFonts w:ascii="Times New Roman" w:hAnsi="Times New Roman"/>
          <w:sz w:val="28"/>
          <w:szCs w:val="28"/>
        </w:rPr>
        <w:t>Chipeta</w:t>
      </w:r>
      <w:proofErr w:type="spellEnd"/>
      <w:r w:rsidRPr="001D7023">
        <w:rPr>
          <w:rFonts w:ascii="Times New Roman" w:hAnsi="Times New Roman"/>
          <w:sz w:val="28"/>
          <w:szCs w:val="28"/>
        </w:rPr>
        <w:t xml:space="preserve"> used the maxim to arrive at the decision that amendment of section 65 of the Constitution do</w:t>
      </w:r>
      <w:r w:rsidR="00964E57" w:rsidRPr="001D7023">
        <w:rPr>
          <w:rFonts w:ascii="Times New Roman" w:hAnsi="Times New Roman"/>
          <w:sz w:val="28"/>
          <w:szCs w:val="28"/>
        </w:rPr>
        <w:t>es not require prior referendum:</w:t>
      </w:r>
    </w:p>
    <w:p w:rsidR="0074646D" w:rsidRPr="001D7023" w:rsidRDefault="0074646D" w:rsidP="007C69D7">
      <w:pPr>
        <w:spacing w:line="240" w:lineRule="auto"/>
        <w:ind w:left="720"/>
        <w:jc w:val="both"/>
        <w:rPr>
          <w:rFonts w:ascii="Times New Roman" w:eastAsia="Times New Roman" w:hAnsi="Times New Roman"/>
          <w:i/>
          <w:sz w:val="24"/>
          <w:szCs w:val="24"/>
          <w:lang w:eastAsia="en-GB"/>
        </w:rPr>
      </w:pPr>
      <w:r w:rsidRPr="001D7023">
        <w:rPr>
          <w:rFonts w:ascii="Times New Roman" w:hAnsi="Times New Roman"/>
          <w:i/>
          <w:sz w:val="24"/>
          <w:szCs w:val="24"/>
        </w:rPr>
        <w:t>“</w:t>
      </w:r>
      <w:r w:rsidRPr="001D7023">
        <w:rPr>
          <w:rFonts w:ascii="Times New Roman" w:eastAsia="Times New Roman" w:hAnsi="Times New Roman"/>
          <w:i/>
          <w:sz w:val="24"/>
          <w:szCs w:val="24"/>
          <w:lang w:eastAsia="en-GB"/>
        </w:rPr>
        <w:t xml:space="preserve">Section 196, as read with the schedule to the Constitution, is very clear on the provisions it directs to be amended after first referring the proposed amendment to a referendum. It very clearly covers amendments to Sections 32 and 40, among others, but it also very clearly does not cover Section 65 of the Constitution. I thus understand this provision to mean that where Parliament wants to amend Section 32 or Section 40 </w:t>
      </w:r>
      <w:r w:rsidRPr="001D7023">
        <w:rPr>
          <w:rFonts w:ascii="Times New Roman" w:eastAsia="Times New Roman" w:hAnsi="Times New Roman"/>
          <w:i/>
          <w:sz w:val="24"/>
          <w:szCs w:val="24"/>
          <w:lang w:eastAsia="en-GB"/>
        </w:rPr>
        <w:lastRenderedPageBreak/>
        <w:t>directly, it has no</w:t>
      </w:r>
      <w:r w:rsidR="001D7023" w:rsidRPr="001D7023">
        <w:rPr>
          <w:rFonts w:ascii="Times New Roman" w:eastAsia="Times New Roman" w:hAnsi="Times New Roman"/>
          <w:i/>
          <w:sz w:val="24"/>
          <w:szCs w:val="24"/>
          <w:lang w:eastAsia="en-GB"/>
        </w:rPr>
        <w:t xml:space="preserve"> </w:t>
      </w:r>
      <w:r w:rsidRPr="001D7023">
        <w:rPr>
          <w:rFonts w:ascii="Times New Roman" w:eastAsia="Times New Roman" w:hAnsi="Times New Roman"/>
          <w:i/>
          <w:sz w:val="24"/>
          <w:szCs w:val="24"/>
          <w:lang w:eastAsia="en-GB"/>
        </w:rPr>
        <w:t>option but to comply with the requirement of a prior referendum, unless it is otherwise proceeding by virtue of Section 196(3).</w:t>
      </w:r>
    </w:p>
    <w:p w:rsidR="0074646D" w:rsidRPr="001D7023" w:rsidRDefault="0074646D" w:rsidP="001D7023">
      <w:pPr>
        <w:spacing w:line="240" w:lineRule="auto"/>
        <w:ind w:left="720"/>
        <w:jc w:val="both"/>
        <w:rPr>
          <w:rFonts w:ascii="Times New Roman" w:hAnsi="Times New Roman"/>
          <w:i/>
          <w:sz w:val="24"/>
          <w:szCs w:val="24"/>
        </w:rPr>
      </w:pPr>
      <w:r w:rsidRPr="001D7023">
        <w:rPr>
          <w:rFonts w:ascii="Times New Roman" w:eastAsia="Times New Roman" w:hAnsi="Times New Roman"/>
          <w:i/>
          <w:sz w:val="24"/>
          <w:szCs w:val="24"/>
          <w:lang w:eastAsia="en-GB"/>
        </w:rPr>
        <w:t xml:space="preserve"> There is, it is to be noted, nothing in this provision extending the referendum requirement to amendments that indirectly affect rights arising from the provisions listed in the schedule. On this point I find the argument advanced on behalf of the defendants based on the maxim </w:t>
      </w:r>
      <w:proofErr w:type="spellStart"/>
      <w:r w:rsidRPr="001D7023">
        <w:rPr>
          <w:rFonts w:ascii="Times New Roman" w:eastAsia="Times New Roman" w:hAnsi="Times New Roman"/>
          <w:i/>
          <w:iCs/>
          <w:sz w:val="24"/>
          <w:szCs w:val="24"/>
          <w:lang w:eastAsia="en-GB"/>
        </w:rPr>
        <w:t>expressio</w:t>
      </w:r>
      <w:proofErr w:type="spellEnd"/>
      <w:r w:rsidRPr="001D7023">
        <w:rPr>
          <w:rFonts w:ascii="Times New Roman" w:eastAsia="Times New Roman" w:hAnsi="Times New Roman"/>
          <w:i/>
          <w:iCs/>
          <w:sz w:val="24"/>
          <w:szCs w:val="24"/>
          <w:lang w:eastAsia="en-GB"/>
        </w:rPr>
        <w:t xml:space="preserve"> </w:t>
      </w:r>
      <w:proofErr w:type="spellStart"/>
      <w:r w:rsidRPr="001D7023">
        <w:rPr>
          <w:rFonts w:ascii="Times New Roman" w:eastAsia="Times New Roman" w:hAnsi="Times New Roman"/>
          <w:i/>
          <w:iCs/>
          <w:sz w:val="24"/>
          <w:szCs w:val="24"/>
          <w:lang w:eastAsia="en-GB"/>
        </w:rPr>
        <w:t>unius</w:t>
      </w:r>
      <w:proofErr w:type="spellEnd"/>
      <w:r w:rsidRPr="001D7023">
        <w:rPr>
          <w:rFonts w:ascii="Times New Roman" w:eastAsia="Times New Roman" w:hAnsi="Times New Roman"/>
          <w:i/>
          <w:iCs/>
          <w:sz w:val="24"/>
          <w:szCs w:val="24"/>
          <w:lang w:eastAsia="en-GB"/>
        </w:rPr>
        <w:t xml:space="preserve"> </w:t>
      </w:r>
      <w:proofErr w:type="spellStart"/>
      <w:proofErr w:type="gramStart"/>
      <w:r w:rsidRPr="001D7023">
        <w:rPr>
          <w:rFonts w:ascii="Times New Roman" w:eastAsia="Times New Roman" w:hAnsi="Times New Roman"/>
          <w:i/>
          <w:iCs/>
          <w:sz w:val="24"/>
          <w:szCs w:val="24"/>
          <w:lang w:eastAsia="en-GB"/>
        </w:rPr>
        <w:t>est</w:t>
      </w:r>
      <w:proofErr w:type="spellEnd"/>
      <w:proofErr w:type="gramEnd"/>
      <w:r w:rsidRPr="001D7023">
        <w:rPr>
          <w:rFonts w:ascii="Times New Roman" w:eastAsia="Times New Roman" w:hAnsi="Times New Roman"/>
          <w:i/>
          <w:iCs/>
          <w:sz w:val="24"/>
          <w:szCs w:val="24"/>
          <w:lang w:eastAsia="en-GB"/>
        </w:rPr>
        <w:t xml:space="preserve"> </w:t>
      </w:r>
      <w:proofErr w:type="spellStart"/>
      <w:r w:rsidRPr="001D7023">
        <w:rPr>
          <w:rFonts w:ascii="Times New Roman" w:eastAsia="Times New Roman" w:hAnsi="Times New Roman"/>
          <w:i/>
          <w:iCs/>
          <w:sz w:val="24"/>
          <w:szCs w:val="24"/>
          <w:lang w:eastAsia="en-GB"/>
        </w:rPr>
        <w:t>exclusio</w:t>
      </w:r>
      <w:proofErr w:type="spellEnd"/>
      <w:r w:rsidRPr="001D7023">
        <w:rPr>
          <w:rFonts w:ascii="Times New Roman" w:eastAsia="Times New Roman" w:hAnsi="Times New Roman"/>
          <w:i/>
          <w:iCs/>
          <w:sz w:val="24"/>
          <w:szCs w:val="24"/>
          <w:lang w:eastAsia="en-GB"/>
        </w:rPr>
        <w:t xml:space="preserve"> </w:t>
      </w:r>
      <w:proofErr w:type="spellStart"/>
      <w:r w:rsidRPr="001D7023">
        <w:rPr>
          <w:rFonts w:ascii="Times New Roman" w:eastAsia="Times New Roman" w:hAnsi="Times New Roman"/>
          <w:i/>
          <w:iCs/>
          <w:sz w:val="24"/>
          <w:szCs w:val="24"/>
          <w:lang w:eastAsia="en-GB"/>
        </w:rPr>
        <w:t>alterius</w:t>
      </w:r>
      <w:proofErr w:type="spellEnd"/>
      <w:r w:rsidRPr="001D7023">
        <w:rPr>
          <w:rFonts w:ascii="Times New Roman" w:eastAsia="Times New Roman" w:hAnsi="Times New Roman"/>
          <w:i/>
          <w:sz w:val="24"/>
          <w:szCs w:val="24"/>
          <w:lang w:eastAsia="en-GB"/>
        </w:rPr>
        <w:t xml:space="preserve"> i.e. the specific mention of one thing is the exclusion of the other, quite compelling and appropriate.”</w:t>
      </w:r>
    </w:p>
    <w:p w:rsidR="0074646D" w:rsidRPr="001D7023" w:rsidRDefault="0074646D" w:rsidP="001D7023">
      <w:pPr>
        <w:spacing w:line="240" w:lineRule="auto"/>
        <w:jc w:val="both"/>
        <w:rPr>
          <w:rFonts w:ascii="Times New Roman" w:hAnsi="Times New Roman"/>
          <w:sz w:val="28"/>
          <w:szCs w:val="28"/>
        </w:rPr>
      </w:pPr>
      <w:r w:rsidRPr="001D7023">
        <w:rPr>
          <w:rFonts w:ascii="Times New Roman" w:hAnsi="Times New Roman"/>
          <w:sz w:val="28"/>
          <w:szCs w:val="28"/>
        </w:rPr>
        <w:t xml:space="preserve">In the matter under consideration, I am satisfied that the maxim applies to </w:t>
      </w:r>
      <w:r w:rsidR="00840668" w:rsidRPr="001D7023">
        <w:rPr>
          <w:rFonts w:ascii="Times New Roman" w:hAnsi="Times New Roman"/>
          <w:sz w:val="28"/>
          <w:szCs w:val="28"/>
        </w:rPr>
        <w:t xml:space="preserve">sections 46, 40, 41and 26 of the Courts </w:t>
      </w:r>
      <w:r w:rsidRPr="001D7023">
        <w:rPr>
          <w:rFonts w:ascii="Times New Roman" w:hAnsi="Times New Roman"/>
          <w:sz w:val="28"/>
          <w:szCs w:val="28"/>
        </w:rPr>
        <w:t>Act. I am unable to find reasons for holding otherwise.</w:t>
      </w:r>
    </w:p>
    <w:p w:rsidR="007C69D7" w:rsidRDefault="007C69D7" w:rsidP="001D7023">
      <w:pPr>
        <w:spacing w:line="240" w:lineRule="auto"/>
        <w:jc w:val="both"/>
        <w:rPr>
          <w:rFonts w:ascii="Times New Roman" w:hAnsi="Times New Roman"/>
          <w:sz w:val="28"/>
          <w:szCs w:val="28"/>
        </w:rPr>
      </w:pPr>
    </w:p>
    <w:p w:rsidR="00964E57" w:rsidRPr="001D7023" w:rsidRDefault="00840668" w:rsidP="001D7023">
      <w:pPr>
        <w:spacing w:line="240" w:lineRule="auto"/>
        <w:jc w:val="both"/>
        <w:rPr>
          <w:rFonts w:ascii="Times New Roman" w:hAnsi="Times New Roman"/>
          <w:sz w:val="28"/>
          <w:szCs w:val="28"/>
        </w:rPr>
      </w:pPr>
      <w:r w:rsidRPr="001D7023">
        <w:rPr>
          <w:rFonts w:ascii="Times New Roman" w:hAnsi="Times New Roman"/>
          <w:sz w:val="28"/>
          <w:szCs w:val="28"/>
        </w:rPr>
        <w:t>H</w:t>
      </w:r>
      <w:r w:rsidR="00DD62BF" w:rsidRPr="001D7023">
        <w:rPr>
          <w:rFonts w:ascii="Times New Roman" w:hAnsi="Times New Roman"/>
          <w:sz w:val="28"/>
          <w:szCs w:val="28"/>
        </w:rPr>
        <w:t xml:space="preserve">aving determined that the lower court has no power to transfer a case to this Court, </w:t>
      </w:r>
      <w:r w:rsidRPr="001D7023">
        <w:rPr>
          <w:rFonts w:ascii="Times New Roman" w:hAnsi="Times New Roman"/>
          <w:sz w:val="28"/>
          <w:szCs w:val="28"/>
        </w:rPr>
        <w:t>the all-important question to consider is</w:t>
      </w:r>
      <w:r w:rsidR="00964E57" w:rsidRPr="001D7023">
        <w:rPr>
          <w:rFonts w:ascii="Times New Roman" w:hAnsi="Times New Roman"/>
          <w:sz w:val="28"/>
          <w:szCs w:val="28"/>
        </w:rPr>
        <w:t xml:space="preserve">, to my mind, </w:t>
      </w:r>
      <w:r w:rsidRPr="001D7023">
        <w:rPr>
          <w:rFonts w:ascii="Times New Roman" w:hAnsi="Times New Roman"/>
          <w:sz w:val="28"/>
          <w:szCs w:val="28"/>
        </w:rPr>
        <w:t xml:space="preserve">whether or not </w:t>
      </w:r>
      <w:r w:rsidR="00DD62BF" w:rsidRPr="001D7023">
        <w:rPr>
          <w:rFonts w:ascii="Times New Roman" w:hAnsi="Times New Roman"/>
          <w:sz w:val="28"/>
          <w:szCs w:val="28"/>
        </w:rPr>
        <w:t xml:space="preserve">this Court can lawfully be </w:t>
      </w:r>
      <w:proofErr w:type="spellStart"/>
      <w:r w:rsidR="00DD62BF" w:rsidRPr="001D7023">
        <w:rPr>
          <w:rFonts w:ascii="Times New Roman" w:hAnsi="Times New Roman"/>
          <w:sz w:val="28"/>
          <w:szCs w:val="28"/>
        </w:rPr>
        <w:t>seised</w:t>
      </w:r>
      <w:proofErr w:type="spellEnd"/>
      <w:r w:rsidR="00DD62BF" w:rsidRPr="001D7023">
        <w:rPr>
          <w:rFonts w:ascii="Times New Roman" w:hAnsi="Times New Roman"/>
          <w:sz w:val="28"/>
          <w:szCs w:val="28"/>
        </w:rPr>
        <w:t xml:space="preserve"> of </w:t>
      </w:r>
      <w:r w:rsidR="00964E57" w:rsidRPr="001D7023">
        <w:rPr>
          <w:rFonts w:ascii="Times New Roman" w:hAnsi="Times New Roman"/>
          <w:sz w:val="28"/>
          <w:szCs w:val="28"/>
        </w:rPr>
        <w:t xml:space="preserve">applications for ancillary orders in respect of a </w:t>
      </w:r>
      <w:r w:rsidR="00DD62BF" w:rsidRPr="001D7023">
        <w:rPr>
          <w:rFonts w:ascii="Times New Roman" w:hAnsi="Times New Roman"/>
          <w:sz w:val="28"/>
          <w:szCs w:val="28"/>
        </w:rPr>
        <w:t>matter that was substantially dealt with by the lower court</w:t>
      </w:r>
      <w:r w:rsidR="00432EC8" w:rsidRPr="001D7023">
        <w:rPr>
          <w:rFonts w:ascii="Times New Roman" w:hAnsi="Times New Roman"/>
          <w:sz w:val="28"/>
          <w:szCs w:val="28"/>
        </w:rPr>
        <w:t>. In other words</w:t>
      </w:r>
      <w:r w:rsidR="00964E57" w:rsidRPr="001D7023">
        <w:rPr>
          <w:rFonts w:ascii="Times New Roman" w:hAnsi="Times New Roman"/>
          <w:sz w:val="28"/>
          <w:szCs w:val="28"/>
        </w:rPr>
        <w:t>,</w:t>
      </w:r>
      <w:r w:rsidR="00432EC8" w:rsidRPr="001D7023">
        <w:rPr>
          <w:rFonts w:ascii="Times New Roman" w:hAnsi="Times New Roman"/>
          <w:sz w:val="28"/>
          <w:szCs w:val="28"/>
        </w:rPr>
        <w:t xml:space="preserve"> or to put the question differently, can a magistrate court dissolve a marriage and leave ancillary orders </w:t>
      </w:r>
      <w:r w:rsidRPr="001D7023">
        <w:rPr>
          <w:rFonts w:ascii="Times New Roman" w:hAnsi="Times New Roman"/>
          <w:sz w:val="28"/>
          <w:szCs w:val="28"/>
        </w:rPr>
        <w:t xml:space="preserve">in relation to the dissolved marriage </w:t>
      </w:r>
      <w:r w:rsidR="00432EC8" w:rsidRPr="001D7023">
        <w:rPr>
          <w:rFonts w:ascii="Times New Roman" w:hAnsi="Times New Roman"/>
          <w:sz w:val="28"/>
          <w:szCs w:val="28"/>
        </w:rPr>
        <w:t xml:space="preserve">to </w:t>
      </w:r>
      <w:r w:rsidRPr="001D7023">
        <w:rPr>
          <w:rFonts w:ascii="Times New Roman" w:hAnsi="Times New Roman"/>
          <w:sz w:val="28"/>
          <w:szCs w:val="28"/>
        </w:rPr>
        <w:t xml:space="preserve">be made by </w:t>
      </w:r>
      <w:r w:rsidR="00964E57" w:rsidRPr="001D7023">
        <w:rPr>
          <w:rFonts w:ascii="Times New Roman" w:hAnsi="Times New Roman"/>
          <w:sz w:val="28"/>
          <w:szCs w:val="28"/>
        </w:rPr>
        <w:t>the High Court?</w:t>
      </w:r>
    </w:p>
    <w:p w:rsidR="00203B58" w:rsidRPr="001D7023" w:rsidRDefault="00964E57" w:rsidP="001D7023">
      <w:pPr>
        <w:spacing w:line="240" w:lineRule="auto"/>
        <w:jc w:val="both"/>
        <w:rPr>
          <w:rFonts w:ascii="Times New Roman" w:hAnsi="Times New Roman"/>
          <w:sz w:val="28"/>
          <w:szCs w:val="28"/>
        </w:rPr>
      </w:pPr>
      <w:r w:rsidRPr="001D7023">
        <w:rPr>
          <w:rFonts w:ascii="Times New Roman" w:hAnsi="Times New Roman"/>
          <w:sz w:val="28"/>
          <w:szCs w:val="28"/>
        </w:rPr>
        <w:t>Author</w:t>
      </w:r>
      <w:r w:rsidR="00F57781" w:rsidRPr="001D7023">
        <w:rPr>
          <w:rFonts w:ascii="Times New Roman" w:hAnsi="Times New Roman"/>
          <w:sz w:val="28"/>
          <w:szCs w:val="28"/>
        </w:rPr>
        <w:t xml:space="preserve">ities on this question are many and, until recently, they were by no means easy to reconcile or understand. These authorities included the cases of </w:t>
      </w:r>
      <w:proofErr w:type="spellStart"/>
      <w:r w:rsidR="00F57781" w:rsidRPr="001D7023">
        <w:rPr>
          <w:rFonts w:ascii="Times New Roman" w:hAnsi="Times New Roman"/>
          <w:b/>
          <w:sz w:val="28"/>
          <w:szCs w:val="28"/>
        </w:rPr>
        <w:t>Mzengo</w:t>
      </w:r>
      <w:proofErr w:type="spellEnd"/>
      <w:r w:rsidR="00F57781" w:rsidRPr="001D7023">
        <w:rPr>
          <w:rFonts w:ascii="Times New Roman" w:hAnsi="Times New Roman"/>
          <w:b/>
          <w:sz w:val="28"/>
          <w:szCs w:val="28"/>
        </w:rPr>
        <w:t xml:space="preserve"> v. </w:t>
      </w:r>
      <w:proofErr w:type="spellStart"/>
      <w:r w:rsidR="00F57781" w:rsidRPr="001D7023">
        <w:rPr>
          <w:rFonts w:ascii="Times New Roman" w:hAnsi="Times New Roman"/>
          <w:b/>
          <w:sz w:val="28"/>
          <w:szCs w:val="28"/>
        </w:rPr>
        <w:t>Mzengo</w:t>
      </w:r>
      <w:proofErr w:type="spellEnd"/>
      <w:r w:rsidR="00F57781" w:rsidRPr="001D7023">
        <w:rPr>
          <w:rFonts w:ascii="Times New Roman" w:hAnsi="Times New Roman"/>
          <w:b/>
          <w:sz w:val="28"/>
          <w:szCs w:val="28"/>
        </w:rPr>
        <w:t xml:space="preserve">, HC/PR Matrimonial Cause No. 7 of 2009 (unreported) </w:t>
      </w:r>
      <w:r w:rsidR="00F57781" w:rsidRPr="001D7023">
        <w:rPr>
          <w:rFonts w:ascii="Times New Roman" w:hAnsi="Times New Roman"/>
          <w:sz w:val="28"/>
          <w:szCs w:val="28"/>
        </w:rPr>
        <w:t xml:space="preserve">and </w:t>
      </w:r>
      <w:proofErr w:type="spellStart"/>
      <w:r w:rsidR="00F57781" w:rsidRPr="001D7023">
        <w:rPr>
          <w:rFonts w:ascii="Times New Roman" w:hAnsi="Times New Roman"/>
          <w:b/>
          <w:sz w:val="28"/>
          <w:szCs w:val="28"/>
        </w:rPr>
        <w:t>Thomotho</w:t>
      </w:r>
      <w:proofErr w:type="spellEnd"/>
      <w:r w:rsidR="00F57781" w:rsidRPr="001D7023">
        <w:rPr>
          <w:rFonts w:ascii="Times New Roman" w:hAnsi="Times New Roman"/>
          <w:b/>
          <w:sz w:val="28"/>
          <w:szCs w:val="28"/>
        </w:rPr>
        <w:t xml:space="preserve"> v. </w:t>
      </w:r>
      <w:proofErr w:type="spellStart"/>
      <w:r w:rsidR="00F57781" w:rsidRPr="001D7023">
        <w:rPr>
          <w:rFonts w:ascii="Times New Roman" w:hAnsi="Times New Roman"/>
          <w:b/>
          <w:sz w:val="28"/>
          <w:szCs w:val="28"/>
        </w:rPr>
        <w:t>Thomotho</w:t>
      </w:r>
      <w:proofErr w:type="spellEnd"/>
      <w:r w:rsidR="00F57781" w:rsidRPr="001D7023">
        <w:rPr>
          <w:rFonts w:ascii="Times New Roman" w:hAnsi="Times New Roman"/>
          <w:b/>
          <w:sz w:val="28"/>
          <w:szCs w:val="28"/>
        </w:rPr>
        <w:t xml:space="preserve"> HC/PR Matrimonial Cause No. 8 of 2008 (unreported)</w:t>
      </w:r>
      <w:r w:rsidR="00203B58" w:rsidRPr="001D7023">
        <w:rPr>
          <w:rFonts w:ascii="Times New Roman" w:hAnsi="Times New Roman"/>
          <w:sz w:val="28"/>
          <w:szCs w:val="28"/>
        </w:rPr>
        <w:t xml:space="preserve"> but I am absolved from a consideration of these authorities  by the fact that </w:t>
      </w:r>
      <w:r w:rsidR="00432EC8" w:rsidRPr="001D7023">
        <w:rPr>
          <w:rFonts w:ascii="Times New Roman" w:hAnsi="Times New Roman"/>
          <w:sz w:val="28"/>
          <w:szCs w:val="28"/>
        </w:rPr>
        <w:t xml:space="preserve">in </w:t>
      </w:r>
      <w:r w:rsidR="00203B58" w:rsidRPr="001D7023">
        <w:rPr>
          <w:rFonts w:ascii="Times New Roman" w:hAnsi="Times New Roman"/>
          <w:sz w:val="28"/>
          <w:szCs w:val="28"/>
        </w:rPr>
        <w:t>an erudite</w:t>
      </w:r>
      <w:r w:rsidR="005725D8" w:rsidRPr="001D7023">
        <w:rPr>
          <w:rFonts w:ascii="Times New Roman" w:hAnsi="Times New Roman"/>
          <w:sz w:val="28"/>
          <w:szCs w:val="28"/>
        </w:rPr>
        <w:t xml:space="preserve"> and lucid</w:t>
      </w:r>
      <w:r w:rsidR="00203B58" w:rsidRPr="001D7023">
        <w:rPr>
          <w:rFonts w:ascii="Times New Roman" w:hAnsi="Times New Roman"/>
          <w:sz w:val="28"/>
          <w:szCs w:val="28"/>
        </w:rPr>
        <w:t xml:space="preserve"> judgment in the </w:t>
      </w:r>
      <w:r w:rsidR="00432EC8" w:rsidRPr="001D7023">
        <w:rPr>
          <w:rFonts w:ascii="Times New Roman" w:hAnsi="Times New Roman"/>
          <w:sz w:val="28"/>
          <w:szCs w:val="28"/>
        </w:rPr>
        <w:t xml:space="preserve">case of </w:t>
      </w:r>
      <w:r w:rsidR="00432EC8" w:rsidRPr="001D7023">
        <w:rPr>
          <w:rFonts w:ascii="Times New Roman" w:hAnsi="Times New Roman"/>
          <w:b/>
          <w:sz w:val="28"/>
          <w:szCs w:val="28"/>
        </w:rPr>
        <w:t xml:space="preserve">Mathias </w:t>
      </w:r>
      <w:proofErr w:type="spellStart"/>
      <w:r w:rsidR="00432EC8" w:rsidRPr="001D7023">
        <w:rPr>
          <w:rFonts w:ascii="Times New Roman" w:hAnsi="Times New Roman"/>
          <w:b/>
          <w:sz w:val="28"/>
          <w:szCs w:val="28"/>
        </w:rPr>
        <w:t>Kalumpha</w:t>
      </w:r>
      <w:proofErr w:type="spellEnd"/>
      <w:r w:rsidR="00432EC8" w:rsidRPr="001D7023">
        <w:rPr>
          <w:rFonts w:ascii="Times New Roman" w:hAnsi="Times New Roman"/>
          <w:b/>
          <w:sz w:val="28"/>
          <w:szCs w:val="28"/>
        </w:rPr>
        <w:t xml:space="preserve"> v. Eliza </w:t>
      </w:r>
      <w:proofErr w:type="spellStart"/>
      <w:r w:rsidR="00432EC8" w:rsidRPr="001D7023">
        <w:rPr>
          <w:rFonts w:ascii="Times New Roman" w:hAnsi="Times New Roman"/>
          <w:b/>
          <w:sz w:val="28"/>
          <w:szCs w:val="28"/>
        </w:rPr>
        <w:t>Kalumpha</w:t>
      </w:r>
      <w:proofErr w:type="spellEnd"/>
      <w:r w:rsidR="009D539E" w:rsidRPr="001D7023">
        <w:rPr>
          <w:rFonts w:ascii="Times New Roman" w:hAnsi="Times New Roman"/>
          <w:b/>
          <w:sz w:val="28"/>
          <w:szCs w:val="28"/>
        </w:rPr>
        <w:t>, HC/PR Civil Appeal No. 1 of 2010 (unreported)</w:t>
      </w:r>
      <w:r w:rsidR="00203B58" w:rsidRPr="001D7023">
        <w:rPr>
          <w:rFonts w:ascii="Times New Roman" w:hAnsi="Times New Roman"/>
          <w:sz w:val="28"/>
          <w:szCs w:val="28"/>
        </w:rPr>
        <w:t xml:space="preserve">, </w:t>
      </w:r>
      <w:r w:rsidR="009D539E" w:rsidRPr="001D7023">
        <w:rPr>
          <w:rFonts w:ascii="Times New Roman" w:hAnsi="Times New Roman"/>
          <w:sz w:val="28"/>
          <w:szCs w:val="28"/>
        </w:rPr>
        <w:t xml:space="preserve">Justice </w:t>
      </w:r>
      <w:proofErr w:type="spellStart"/>
      <w:r w:rsidR="009D539E" w:rsidRPr="001D7023">
        <w:rPr>
          <w:rFonts w:ascii="Times New Roman" w:hAnsi="Times New Roman"/>
          <w:sz w:val="28"/>
          <w:szCs w:val="28"/>
        </w:rPr>
        <w:t>Mwaungulu</w:t>
      </w:r>
      <w:proofErr w:type="spellEnd"/>
      <w:r w:rsidR="009D539E" w:rsidRPr="001D7023">
        <w:rPr>
          <w:rFonts w:ascii="Times New Roman" w:hAnsi="Times New Roman"/>
          <w:sz w:val="28"/>
          <w:szCs w:val="28"/>
        </w:rPr>
        <w:t xml:space="preserve">, </w:t>
      </w:r>
      <w:r w:rsidR="00603AD2" w:rsidRPr="001D7023">
        <w:rPr>
          <w:rFonts w:ascii="Times New Roman" w:hAnsi="Times New Roman"/>
          <w:sz w:val="28"/>
          <w:szCs w:val="28"/>
        </w:rPr>
        <w:t xml:space="preserve">as he then was, </w:t>
      </w:r>
      <w:r w:rsidR="00203B58" w:rsidRPr="001D7023">
        <w:rPr>
          <w:rFonts w:ascii="Times New Roman" w:hAnsi="Times New Roman"/>
          <w:sz w:val="28"/>
          <w:szCs w:val="28"/>
        </w:rPr>
        <w:t xml:space="preserve">exhaustively reviewed and </w:t>
      </w:r>
      <w:proofErr w:type="spellStart"/>
      <w:r w:rsidR="00203B58" w:rsidRPr="001D7023">
        <w:rPr>
          <w:rFonts w:ascii="Times New Roman" w:hAnsi="Times New Roman"/>
          <w:sz w:val="28"/>
          <w:szCs w:val="28"/>
        </w:rPr>
        <w:t>analysed</w:t>
      </w:r>
      <w:proofErr w:type="spellEnd"/>
      <w:r w:rsidR="00203B58" w:rsidRPr="001D7023">
        <w:rPr>
          <w:rFonts w:ascii="Times New Roman" w:hAnsi="Times New Roman"/>
          <w:sz w:val="28"/>
          <w:szCs w:val="28"/>
        </w:rPr>
        <w:t xml:space="preserve"> the earlier authorities, and laid down, in terms which are highly persuasive upon me, what the law applicable to the question under consideration is.</w:t>
      </w:r>
    </w:p>
    <w:p w:rsidR="00C50F6B" w:rsidRPr="001D7023" w:rsidRDefault="00203B58" w:rsidP="001D7023">
      <w:pPr>
        <w:spacing w:line="240" w:lineRule="auto"/>
        <w:jc w:val="both"/>
        <w:rPr>
          <w:rFonts w:ascii="Times New Roman" w:hAnsi="Times New Roman"/>
          <w:sz w:val="28"/>
          <w:szCs w:val="28"/>
        </w:rPr>
      </w:pPr>
      <w:r w:rsidRPr="001D7023">
        <w:rPr>
          <w:rFonts w:ascii="Times New Roman" w:hAnsi="Times New Roman"/>
          <w:sz w:val="28"/>
          <w:szCs w:val="28"/>
        </w:rPr>
        <w:t xml:space="preserve">I do not want to lengthen this judgment by extensive citations from the judgment </w:t>
      </w:r>
      <w:r w:rsidR="00955B67" w:rsidRPr="001D7023">
        <w:rPr>
          <w:rFonts w:ascii="Times New Roman" w:hAnsi="Times New Roman"/>
          <w:sz w:val="28"/>
          <w:szCs w:val="28"/>
        </w:rPr>
        <w:t xml:space="preserve">in </w:t>
      </w:r>
      <w:r w:rsidR="00955B67" w:rsidRPr="001D7023">
        <w:rPr>
          <w:rFonts w:ascii="Times New Roman" w:hAnsi="Times New Roman"/>
          <w:b/>
          <w:sz w:val="28"/>
          <w:szCs w:val="28"/>
        </w:rPr>
        <w:t xml:space="preserve">Mathias </w:t>
      </w:r>
      <w:proofErr w:type="spellStart"/>
      <w:r w:rsidR="00955B67" w:rsidRPr="001D7023">
        <w:rPr>
          <w:rFonts w:ascii="Times New Roman" w:hAnsi="Times New Roman"/>
          <w:b/>
          <w:sz w:val="28"/>
          <w:szCs w:val="28"/>
        </w:rPr>
        <w:t>Kalumpha</w:t>
      </w:r>
      <w:proofErr w:type="spellEnd"/>
      <w:r w:rsidR="00955B67" w:rsidRPr="001D7023">
        <w:rPr>
          <w:rFonts w:ascii="Times New Roman" w:hAnsi="Times New Roman"/>
          <w:b/>
          <w:sz w:val="28"/>
          <w:szCs w:val="28"/>
        </w:rPr>
        <w:t xml:space="preserve"> v. Eliza </w:t>
      </w:r>
      <w:proofErr w:type="spellStart"/>
      <w:r w:rsidR="00955B67" w:rsidRPr="001D7023">
        <w:rPr>
          <w:rFonts w:ascii="Times New Roman" w:hAnsi="Times New Roman"/>
          <w:b/>
          <w:sz w:val="28"/>
          <w:szCs w:val="28"/>
        </w:rPr>
        <w:t>Kalumpha</w:t>
      </w:r>
      <w:proofErr w:type="spellEnd"/>
      <w:r w:rsidR="00BE17C0" w:rsidRPr="001D7023">
        <w:rPr>
          <w:rFonts w:ascii="Times New Roman" w:hAnsi="Times New Roman"/>
          <w:sz w:val="28"/>
          <w:szCs w:val="28"/>
        </w:rPr>
        <w:t xml:space="preserve">, supra, </w:t>
      </w:r>
      <w:r w:rsidR="00955B67" w:rsidRPr="001D7023">
        <w:rPr>
          <w:rFonts w:ascii="Times New Roman" w:hAnsi="Times New Roman"/>
          <w:sz w:val="28"/>
          <w:szCs w:val="28"/>
        </w:rPr>
        <w:t>but there are one or two passage</w:t>
      </w:r>
      <w:r w:rsidR="00542569" w:rsidRPr="001D7023">
        <w:rPr>
          <w:rFonts w:ascii="Times New Roman" w:hAnsi="Times New Roman"/>
          <w:sz w:val="28"/>
          <w:szCs w:val="28"/>
        </w:rPr>
        <w:t xml:space="preserve">s </w:t>
      </w:r>
      <w:r w:rsidR="00B95AB8" w:rsidRPr="001D7023">
        <w:rPr>
          <w:rFonts w:ascii="Times New Roman" w:hAnsi="Times New Roman"/>
          <w:sz w:val="28"/>
          <w:szCs w:val="28"/>
        </w:rPr>
        <w:t>therein from</w:t>
      </w:r>
      <w:r w:rsidR="00955B67" w:rsidRPr="001D7023">
        <w:rPr>
          <w:rFonts w:ascii="Times New Roman" w:hAnsi="Times New Roman"/>
          <w:sz w:val="28"/>
          <w:szCs w:val="28"/>
        </w:rPr>
        <w:t xml:space="preserve"> which I should quote. </w:t>
      </w:r>
      <w:r w:rsidR="00C50F6B" w:rsidRPr="001D7023">
        <w:rPr>
          <w:rFonts w:ascii="Times New Roman" w:hAnsi="Times New Roman"/>
          <w:sz w:val="28"/>
          <w:szCs w:val="28"/>
        </w:rPr>
        <w:t xml:space="preserve">At page </w:t>
      </w:r>
      <w:r w:rsidR="00BE17C0" w:rsidRPr="001D7023">
        <w:rPr>
          <w:rFonts w:ascii="Times New Roman" w:hAnsi="Times New Roman"/>
          <w:sz w:val="28"/>
          <w:szCs w:val="28"/>
        </w:rPr>
        <w:t>6,</w:t>
      </w:r>
      <w:r w:rsidR="00C50F6B" w:rsidRPr="001D7023">
        <w:rPr>
          <w:rFonts w:ascii="Times New Roman" w:hAnsi="Times New Roman"/>
          <w:sz w:val="28"/>
          <w:szCs w:val="28"/>
        </w:rPr>
        <w:t xml:space="preserve"> Justice </w:t>
      </w:r>
      <w:proofErr w:type="spellStart"/>
      <w:r w:rsidR="00C50F6B" w:rsidRPr="001D7023">
        <w:rPr>
          <w:rFonts w:ascii="Times New Roman" w:hAnsi="Times New Roman"/>
          <w:sz w:val="28"/>
          <w:szCs w:val="28"/>
        </w:rPr>
        <w:t>Mwaungulu</w:t>
      </w:r>
      <w:proofErr w:type="spellEnd"/>
      <w:r w:rsidR="005725D8" w:rsidRPr="001D7023">
        <w:rPr>
          <w:rFonts w:ascii="Times New Roman" w:hAnsi="Times New Roman"/>
          <w:sz w:val="28"/>
          <w:szCs w:val="28"/>
        </w:rPr>
        <w:t>, as he then was,</w:t>
      </w:r>
      <w:r w:rsidR="00C50F6B" w:rsidRPr="001D7023">
        <w:rPr>
          <w:rFonts w:ascii="Times New Roman" w:hAnsi="Times New Roman"/>
          <w:sz w:val="28"/>
          <w:szCs w:val="28"/>
        </w:rPr>
        <w:t xml:space="preserve"> said:</w:t>
      </w:r>
    </w:p>
    <w:p w:rsidR="001D7023" w:rsidRPr="001D7023" w:rsidRDefault="00BE17C0" w:rsidP="001D7023">
      <w:pPr>
        <w:spacing w:line="240" w:lineRule="auto"/>
        <w:ind w:left="720"/>
        <w:jc w:val="both"/>
        <w:rPr>
          <w:rFonts w:ascii="Times New Roman" w:hAnsi="Times New Roman"/>
          <w:i/>
          <w:sz w:val="24"/>
          <w:szCs w:val="24"/>
        </w:rPr>
      </w:pPr>
      <w:r w:rsidRPr="001D7023">
        <w:rPr>
          <w:rFonts w:ascii="Times New Roman" w:hAnsi="Times New Roman"/>
          <w:i/>
          <w:sz w:val="24"/>
          <w:szCs w:val="24"/>
        </w:rPr>
        <w:t>“On dissolution of marriage, orders as to custody of children and matrimonial property are ancillary and do not go to jurisdiction. A court that has primary jurisdiction to dissolve marriage must have jurisdiction to make ancillary orders unless, of course, a statute removes or limits in some way that court’s jurisdiction.</w:t>
      </w:r>
    </w:p>
    <w:p w:rsidR="00C50F6B" w:rsidRPr="001D7023" w:rsidRDefault="00BE17C0" w:rsidP="001D7023">
      <w:pPr>
        <w:spacing w:line="240" w:lineRule="auto"/>
        <w:ind w:left="720"/>
        <w:jc w:val="both"/>
        <w:rPr>
          <w:rFonts w:ascii="Times New Roman" w:hAnsi="Times New Roman"/>
          <w:i/>
          <w:sz w:val="24"/>
          <w:szCs w:val="24"/>
        </w:rPr>
      </w:pPr>
      <w:r w:rsidRPr="001D7023">
        <w:rPr>
          <w:rFonts w:ascii="Times New Roman" w:hAnsi="Times New Roman"/>
          <w:i/>
          <w:sz w:val="24"/>
          <w:szCs w:val="24"/>
        </w:rPr>
        <w:t>There is no statute, however, that limits the magistrate court’s jurisdiction to make ancillary orders generally or ancillary orders as to matrimonial property or custody of children for marriage.”</w:t>
      </w:r>
    </w:p>
    <w:p w:rsidR="00C50F6B" w:rsidRPr="001D7023" w:rsidRDefault="00C50F6B" w:rsidP="001D7023">
      <w:pPr>
        <w:spacing w:line="240" w:lineRule="auto"/>
        <w:jc w:val="both"/>
        <w:rPr>
          <w:rFonts w:ascii="Times New Roman" w:hAnsi="Times New Roman"/>
          <w:sz w:val="28"/>
          <w:szCs w:val="28"/>
        </w:rPr>
      </w:pPr>
      <w:r w:rsidRPr="001D7023">
        <w:rPr>
          <w:rFonts w:ascii="Times New Roman" w:hAnsi="Times New Roman"/>
          <w:sz w:val="28"/>
          <w:szCs w:val="28"/>
        </w:rPr>
        <w:lastRenderedPageBreak/>
        <w:t xml:space="preserve">Justice </w:t>
      </w:r>
      <w:proofErr w:type="spellStart"/>
      <w:r w:rsidRPr="001D7023">
        <w:rPr>
          <w:rFonts w:ascii="Times New Roman" w:hAnsi="Times New Roman"/>
          <w:sz w:val="28"/>
          <w:szCs w:val="28"/>
        </w:rPr>
        <w:t>Mwaungulu</w:t>
      </w:r>
      <w:proofErr w:type="spellEnd"/>
      <w:r w:rsidR="005725D8" w:rsidRPr="001D7023">
        <w:rPr>
          <w:rFonts w:ascii="Times New Roman" w:hAnsi="Times New Roman"/>
          <w:sz w:val="28"/>
          <w:szCs w:val="28"/>
        </w:rPr>
        <w:t>, as he then was,</w:t>
      </w:r>
      <w:r w:rsidRPr="001D7023">
        <w:rPr>
          <w:rFonts w:ascii="Times New Roman" w:hAnsi="Times New Roman"/>
          <w:sz w:val="28"/>
          <w:szCs w:val="28"/>
        </w:rPr>
        <w:t xml:space="preserve"> </w:t>
      </w:r>
      <w:r w:rsidR="0096140E" w:rsidRPr="001D7023">
        <w:rPr>
          <w:rFonts w:ascii="Times New Roman" w:hAnsi="Times New Roman"/>
          <w:sz w:val="28"/>
          <w:szCs w:val="28"/>
        </w:rPr>
        <w:t xml:space="preserve">continues with the same theme at page 8 where </w:t>
      </w:r>
      <w:r w:rsidR="0000373F" w:rsidRPr="001D7023">
        <w:rPr>
          <w:rFonts w:ascii="Times New Roman" w:hAnsi="Times New Roman"/>
          <w:sz w:val="28"/>
          <w:szCs w:val="28"/>
        </w:rPr>
        <w:t>I find the following passage particularly apposite</w:t>
      </w:r>
      <w:r w:rsidR="00E314D2" w:rsidRPr="001D7023">
        <w:rPr>
          <w:rFonts w:ascii="Times New Roman" w:hAnsi="Times New Roman"/>
          <w:sz w:val="28"/>
          <w:szCs w:val="28"/>
        </w:rPr>
        <w:t>:</w:t>
      </w:r>
    </w:p>
    <w:p w:rsidR="0096140E" w:rsidRPr="001D7023" w:rsidRDefault="0096140E" w:rsidP="001D7023">
      <w:pPr>
        <w:spacing w:line="240" w:lineRule="auto"/>
        <w:ind w:left="720"/>
        <w:jc w:val="both"/>
        <w:rPr>
          <w:rFonts w:ascii="Times New Roman" w:hAnsi="Times New Roman"/>
          <w:i/>
          <w:sz w:val="24"/>
          <w:szCs w:val="24"/>
        </w:rPr>
      </w:pPr>
      <w:r w:rsidRPr="001D7023">
        <w:rPr>
          <w:rFonts w:ascii="Times New Roman" w:hAnsi="Times New Roman"/>
          <w:i/>
          <w:sz w:val="24"/>
          <w:szCs w:val="24"/>
        </w:rPr>
        <w:t>“Jurisdiction may be concurrent; it is, however, indivisible. A court cannot have jurisdiction on one part and have the other part in the jurisdiction of another. A court can have jurisdiction or have no jurisdiction. Once it is established that a magistrate court has jurisdiction to dissolve a marriage, it has jurisdiction to make ancillary orders attending the primary jurisdiction. The suggestion that a magistrate court can dissolve a marriage and leave ancillary orders to a higher court where the value of matrimonial property is higher than its monetary jurisdiction cannot be right because a subordinate court has no power to transfer proceedings from itself to the High Court.”</w:t>
      </w:r>
    </w:p>
    <w:p w:rsidR="007C69D7" w:rsidRDefault="007C69D7" w:rsidP="001D7023">
      <w:pPr>
        <w:spacing w:line="240" w:lineRule="auto"/>
        <w:jc w:val="both"/>
        <w:rPr>
          <w:rFonts w:ascii="Times New Roman" w:hAnsi="Times New Roman"/>
          <w:sz w:val="28"/>
          <w:szCs w:val="28"/>
        </w:rPr>
      </w:pPr>
    </w:p>
    <w:p w:rsidR="007C69D7" w:rsidRDefault="007C69D7" w:rsidP="001D7023">
      <w:pPr>
        <w:spacing w:line="240" w:lineRule="auto"/>
        <w:jc w:val="both"/>
        <w:rPr>
          <w:rFonts w:ascii="Times New Roman" w:hAnsi="Times New Roman"/>
          <w:sz w:val="28"/>
          <w:szCs w:val="28"/>
        </w:rPr>
      </w:pPr>
    </w:p>
    <w:p w:rsidR="00840668" w:rsidRPr="001D7023" w:rsidRDefault="00C50F6B" w:rsidP="001D7023">
      <w:pPr>
        <w:spacing w:line="240" w:lineRule="auto"/>
        <w:jc w:val="both"/>
        <w:rPr>
          <w:rFonts w:ascii="Times New Roman" w:hAnsi="Times New Roman"/>
          <w:sz w:val="28"/>
          <w:szCs w:val="28"/>
        </w:rPr>
      </w:pPr>
      <w:r w:rsidRPr="001D7023">
        <w:rPr>
          <w:rFonts w:ascii="Times New Roman" w:hAnsi="Times New Roman"/>
          <w:sz w:val="28"/>
          <w:szCs w:val="28"/>
        </w:rPr>
        <w:t xml:space="preserve">Justice </w:t>
      </w:r>
      <w:proofErr w:type="spellStart"/>
      <w:r w:rsidRPr="001D7023">
        <w:rPr>
          <w:rFonts w:ascii="Times New Roman" w:hAnsi="Times New Roman"/>
          <w:sz w:val="28"/>
          <w:szCs w:val="28"/>
        </w:rPr>
        <w:t>Mwaungulu</w:t>
      </w:r>
      <w:proofErr w:type="spellEnd"/>
      <w:r w:rsidR="005725D8" w:rsidRPr="001D7023">
        <w:rPr>
          <w:rFonts w:ascii="Times New Roman" w:hAnsi="Times New Roman"/>
          <w:sz w:val="28"/>
          <w:szCs w:val="28"/>
        </w:rPr>
        <w:t>, as he then was,</w:t>
      </w:r>
      <w:r w:rsidRPr="001D7023">
        <w:rPr>
          <w:rFonts w:ascii="Times New Roman" w:hAnsi="Times New Roman"/>
          <w:sz w:val="28"/>
          <w:szCs w:val="28"/>
        </w:rPr>
        <w:t xml:space="preserve"> concludes by holding that </w:t>
      </w:r>
      <w:r w:rsidR="00603AD2" w:rsidRPr="001D7023">
        <w:rPr>
          <w:rFonts w:ascii="Times New Roman" w:hAnsi="Times New Roman"/>
          <w:sz w:val="28"/>
          <w:szCs w:val="28"/>
        </w:rPr>
        <w:t>“</w:t>
      </w:r>
      <w:r w:rsidR="00603AD2" w:rsidRPr="001D7023">
        <w:rPr>
          <w:rFonts w:ascii="Times New Roman" w:hAnsi="Times New Roman"/>
          <w:i/>
          <w:sz w:val="28"/>
          <w:szCs w:val="28"/>
        </w:rPr>
        <w:t>once it is established that a magistrate court has jurisdiction to dissolve a marriage, it has jurisdiction to make ancillary orders attending the primary jurisdiction</w:t>
      </w:r>
      <w:r w:rsidR="00603AD2" w:rsidRPr="001D7023">
        <w:rPr>
          <w:rFonts w:ascii="Times New Roman" w:hAnsi="Times New Roman"/>
          <w:sz w:val="28"/>
          <w:szCs w:val="28"/>
        </w:rPr>
        <w:t>”</w:t>
      </w:r>
      <w:r w:rsidR="00840668" w:rsidRPr="001D7023">
        <w:rPr>
          <w:rFonts w:ascii="Times New Roman" w:hAnsi="Times New Roman"/>
          <w:sz w:val="28"/>
          <w:szCs w:val="28"/>
        </w:rPr>
        <w:t>.</w:t>
      </w:r>
    </w:p>
    <w:p w:rsidR="00FF5F3D" w:rsidRPr="001D7023" w:rsidRDefault="008609E6" w:rsidP="001D7023">
      <w:pPr>
        <w:pStyle w:val="Default"/>
        <w:jc w:val="both"/>
        <w:rPr>
          <w:sz w:val="28"/>
          <w:szCs w:val="28"/>
        </w:rPr>
      </w:pPr>
      <w:r w:rsidRPr="001D7023">
        <w:rPr>
          <w:sz w:val="28"/>
          <w:szCs w:val="28"/>
        </w:rPr>
        <w:t>On the basis of the foregoing considerations</w:t>
      </w:r>
      <w:r w:rsidR="00FF5F3D" w:rsidRPr="001D7023">
        <w:rPr>
          <w:sz w:val="28"/>
          <w:szCs w:val="28"/>
        </w:rPr>
        <w:t xml:space="preserve"> and in exercise of this Court’s g</w:t>
      </w:r>
      <w:r w:rsidR="00FF5F3D" w:rsidRPr="001D7023">
        <w:rPr>
          <w:sz w:val="28"/>
          <w:szCs w:val="28"/>
          <w:lang w:eastAsia="en-GB"/>
        </w:rPr>
        <w:t>eneral supervisory and r</w:t>
      </w:r>
      <w:r w:rsidR="0096140E" w:rsidRPr="001D7023">
        <w:rPr>
          <w:sz w:val="28"/>
          <w:szCs w:val="28"/>
          <w:lang w:eastAsia="en-GB"/>
        </w:rPr>
        <w:t>evisionary jurisdiction over</w:t>
      </w:r>
      <w:r w:rsidR="00FF5F3D" w:rsidRPr="001D7023">
        <w:rPr>
          <w:sz w:val="28"/>
          <w:szCs w:val="28"/>
          <w:lang w:eastAsia="en-GB"/>
        </w:rPr>
        <w:t xml:space="preserve"> subordinate courts, I </w:t>
      </w:r>
      <w:r w:rsidR="00542569" w:rsidRPr="001D7023">
        <w:rPr>
          <w:sz w:val="28"/>
          <w:szCs w:val="28"/>
          <w:lang w:eastAsia="en-GB"/>
        </w:rPr>
        <w:t xml:space="preserve">determine that it would be in the interest of justice </w:t>
      </w:r>
      <w:r w:rsidR="00FF5F3D" w:rsidRPr="001D7023">
        <w:rPr>
          <w:sz w:val="28"/>
          <w:szCs w:val="28"/>
          <w:lang w:eastAsia="en-GB"/>
        </w:rPr>
        <w:t xml:space="preserve">that the lower </w:t>
      </w:r>
      <w:r w:rsidR="00542569" w:rsidRPr="001D7023">
        <w:rPr>
          <w:sz w:val="28"/>
          <w:szCs w:val="28"/>
          <w:lang w:eastAsia="en-GB"/>
        </w:rPr>
        <w:t xml:space="preserve">court </w:t>
      </w:r>
      <w:r w:rsidR="00FF5F3D" w:rsidRPr="001D7023">
        <w:rPr>
          <w:sz w:val="28"/>
          <w:szCs w:val="28"/>
          <w:lang w:eastAsia="en-GB"/>
        </w:rPr>
        <w:t xml:space="preserve">should conclude the determination of </w:t>
      </w:r>
      <w:r w:rsidR="00FF5F3D" w:rsidRPr="001D7023">
        <w:rPr>
          <w:sz w:val="28"/>
          <w:szCs w:val="28"/>
        </w:rPr>
        <w:t xml:space="preserve">Civil Cause No. 93 of 2015 by making the necessary ancillary orders with respect to </w:t>
      </w:r>
      <w:r w:rsidR="00F05BA4" w:rsidRPr="001D7023">
        <w:rPr>
          <w:sz w:val="28"/>
          <w:szCs w:val="28"/>
        </w:rPr>
        <w:t>distribution of the matrimonial property and maintenance within 30 days hereof.</w:t>
      </w:r>
      <w:r w:rsidR="00542569" w:rsidRPr="001D7023">
        <w:rPr>
          <w:sz w:val="28"/>
          <w:szCs w:val="28"/>
        </w:rPr>
        <w:t xml:space="preserve"> I so order.</w:t>
      </w:r>
    </w:p>
    <w:p w:rsidR="0075016C" w:rsidRPr="001D7023" w:rsidRDefault="0075016C" w:rsidP="001D7023">
      <w:pPr>
        <w:spacing w:line="240" w:lineRule="auto"/>
        <w:jc w:val="both"/>
        <w:rPr>
          <w:rFonts w:ascii="Times New Roman" w:hAnsi="Times New Roman"/>
          <w:sz w:val="28"/>
          <w:szCs w:val="28"/>
        </w:rPr>
      </w:pPr>
    </w:p>
    <w:p w:rsidR="00C02C1D" w:rsidRPr="001D7023" w:rsidRDefault="00C02C1D" w:rsidP="001D7023">
      <w:pPr>
        <w:spacing w:line="240" w:lineRule="auto"/>
        <w:contextualSpacing/>
        <w:jc w:val="both"/>
        <w:rPr>
          <w:rFonts w:ascii="Times New Roman" w:hAnsi="Times New Roman"/>
          <w:sz w:val="28"/>
          <w:szCs w:val="28"/>
        </w:rPr>
      </w:pPr>
      <w:r w:rsidRPr="001D7023">
        <w:rPr>
          <w:rFonts w:ascii="Times New Roman" w:hAnsi="Times New Roman"/>
          <w:sz w:val="28"/>
          <w:szCs w:val="28"/>
        </w:rPr>
        <w:t xml:space="preserve">Pronounced in Chambers this </w:t>
      </w:r>
      <w:r w:rsidR="001D7023" w:rsidRPr="001D7023">
        <w:rPr>
          <w:rFonts w:ascii="Times New Roman" w:hAnsi="Times New Roman"/>
          <w:sz w:val="28"/>
          <w:szCs w:val="28"/>
        </w:rPr>
        <w:t>10</w:t>
      </w:r>
      <w:r w:rsidR="00C50F6B" w:rsidRPr="001D7023">
        <w:rPr>
          <w:rFonts w:ascii="Times New Roman" w:hAnsi="Times New Roman"/>
          <w:sz w:val="28"/>
          <w:szCs w:val="28"/>
          <w:vertAlign w:val="superscript"/>
        </w:rPr>
        <w:t>th</w:t>
      </w:r>
      <w:r w:rsidR="00C50F6B" w:rsidRPr="001D7023">
        <w:rPr>
          <w:rFonts w:ascii="Times New Roman" w:hAnsi="Times New Roman"/>
          <w:sz w:val="28"/>
          <w:szCs w:val="28"/>
        </w:rPr>
        <w:t xml:space="preserve"> </w:t>
      </w:r>
      <w:r w:rsidRPr="001D7023">
        <w:rPr>
          <w:rFonts w:ascii="Times New Roman" w:hAnsi="Times New Roman"/>
          <w:sz w:val="28"/>
          <w:szCs w:val="28"/>
        </w:rPr>
        <w:t xml:space="preserve">day of </w:t>
      </w:r>
      <w:r w:rsidR="00200664" w:rsidRPr="001D7023">
        <w:rPr>
          <w:rFonts w:ascii="Times New Roman" w:hAnsi="Times New Roman"/>
          <w:sz w:val="28"/>
          <w:szCs w:val="28"/>
        </w:rPr>
        <w:t>February</w:t>
      </w:r>
      <w:r w:rsidR="004A7630" w:rsidRPr="001D7023">
        <w:rPr>
          <w:rFonts w:ascii="Times New Roman" w:hAnsi="Times New Roman"/>
          <w:sz w:val="28"/>
          <w:szCs w:val="28"/>
        </w:rPr>
        <w:t xml:space="preserve"> 2016</w:t>
      </w:r>
      <w:r w:rsidRPr="001D7023">
        <w:rPr>
          <w:rFonts w:ascii="Times New Roman" w:hAnsi="Times New Roman"/>
          <w:sz w:val="28"/>
          <w:szCs w:val="28"/>
        </w:rPr>
        <w:t xml:space="preserve"> at Blantyre in the Republic of Malawi.</w:t>
      </w:r>
    </w:p>
    <w:p w:rsidR="00C02C1D" w:rsidRDefault="00C02C1D" w:rsidP="007C7017">
      <w:pPr>
        <w:ind w:firstLine="720"/>
        <w:jc w:val="center"/>
        <w:rPr>
          <w:rFonts w:ascii="Times New Roman" w:hAnsi="Times New Roman"/>
          <w:b/>
          <w:sz w:val="28"/>
          <w:szCs w:val="28"/>
        </w:rPr>
      </w:pPr>
    </w:p>
    <w:p w:rsidR="00EF23C0" w:rsidRPr="007C7017" w:rsidRDefault="005C7C12" w:rsidP="00C02C1D">
      <w:pPr>
        <w:ind w:firstLine="720"/>
        <w:jc w:val="center"/>
        <w:rPr>
          <w:rFonts w:ascii="Times New Roman" w:hAnsi="Times New Roman"/>
          <w:b/>
          <w:sz w:val="28"/>
          <w:szCs w:val="28"/>
        </w:rPr>
      </w:pPr>
      <w:r w:rsidRPr="007C7017">
        <w:rPr>
          <w:rFonts w:ascii="Times New Roman" w:hAnsi="Times New Roman"/>
          <w:b/>
          <w:sz w:val="28"/>
          <w:szCs w:val="28"/>
        </w:rPr>
        <w:t xml:space="preserve">Kenyatta </w:t>
      </w:r>
      <w:proofErr w:type="spellStart"/>
      <w:r w:rsidRPr="007C7017">
        <w:rPr>
          <w:rFonts w:ascii="Times New Roman" w:hAnsi="Times New Roman"/>
          <w:b/>
          <w:sz w:val="28"/>
          <w:szCs w:val="28"/>
        </w:rPr>
        <w:t>Nyirenda</w:t>
      </w:r>
      <w:proofErr w:type="spellEnd"/>
      <w:r w:rsidR="00867A9D" w:rsidRPr="007C7017">
        <w:rPr>
          <w:rFonts w:ascii="Times New Roman" w:hAnsi="Times New Roman"/>
          <w:b/>
          <w:sz w:val="28"/>
          <w:szCs w:val="28"/>
        </w:rPr>
        <w:t xml:space="preserve">                                                                                       </w:t>
      </w:r>
      <w:r w:rsidR="00647096" w:rsidRPr="007C7017">
        <w:rPr>
          <w:rFonts w:ascii="Times New Roman" w:hAnsi="Times New Roman"/>
          <w:b/>
          <w:sz w:val="28"/>
          <w:szCs w:val="28"/>
          <w:u w:val="single"/>
        </w:rPr>
        <w:t>JUDGE</w:t>
      </w:r>
    </w:p>
    <w:sectPr w:rsidR="00EF23C0" w:rsidRPr="007C7017" w:rsidSect="008C6287">
      <w:headerReference w:type="default" r:id="rId10"/>
      <w:footerReference w:type="default" r:id="rId11"/>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9A8" w:rsidRDefault="00CE09A8" w:rsidP="008C6287">
      <w:pPr>
        <w:spacing w:after="0" w:line="240" w:lineRule="auto"/>
      </w:pPr>
      <w:r>
        <w:separator/>
      </w:r>
    </w:p>
  </w:endnote>
  <w:endnote w:type="continuationSeparator" w:id="0">
    <w:p w:rsidR="00CE09A8" w:rsidRDefault="00CE09A8" w:rsidP="008C6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210237"/>
      <w:docPartObj>
        <w:docPartGallery w:val="Page Numbers (Bottom of Page)"/>
        <w:docPartUnique/>
      </w:docPartObj>
    </w:sdtPr>
    <w:sdtEndPr/>
    <w:sdtContent>
      <w:p w:rsidR="00FF5F3D" w:rsidRDefault="00001117">
        <w:pPr>
          <w:pStyle w:val="Footer"/>
          <w:jc w:val="center"/>
        </w:pPr>
        <w:r>
          <w:fldChar w:fldCharType="begin"/>
        </w:r>
        <w:r>
          <w:instrText xml:space="preserve"> PAGE   \* MERGEFORMAT </w:instrText>
        </w:r>
        <w:r>
          <w:fldChar w:fldCharType="separate"/>
        </w:r>
        <w:r w:rsidR="006A66DC">
          <w:rPr>
            <w:noProof/>
          </w:rPr>
          <w:t>1</w:t>
        </w:r>
        <w:r>
          <w:rPr>
            <w:noProof/>
          </w:rPr>
          <w:fldChar w:fldCharType="end"/>
        </w:r>
      </w:p>
    </w:sdtContent>
  </w:sdt>
  <w:p w:rsidR="00FF5F3D" w:rsidRPr="00331A2C" w:rsidRDefault="00FF5F3D" w:rsidP="00331A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9A8" w:rsidRDefault="00CE09A8" w:rsidP="008C6287">
      <w:pPr>
        <w:spacing w:after="0" w:line="240" w:lineRule="auto"/>
      </w:pPr>
      <w:r>
        <w:separator/>
      </w:r>
    </w:p>
  </w:footnote>
  <w:footnote w:type="continuationSeparator" w:id="0">
    <w:p w:rsidR="00CE09A8" w:rsidRDefault="00CE09A8" w:rsidP="008C62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F3D" w:rsidRDefault="00FF5F3D">
    <w:pPr>
      <w:pStyle w:val="Header"/>
    </w:pPr>
    <w:r>
      <w:t xml:space="preserve">Gladys </w:t>
    </w:r>
    <w:proofErr w:type="spellStart"/>
    <w:r>
      <w:t>Ndunya</w:t>
    </w:r>
    <w:proofErr w:type="spellEnd"/>
    <w:r>
      <w:t xml:space="preserve"> v. Gift </w:t>
    </w:r>
    <w:proofErr w:type="spellStart"/>
    <w:r>
      <w:t>Ndunya</w:t>
    </w:r>
    <w:proofErr w:type="spellEnd"/>
    <w:r>
      <w:tab/>
    </w:r>
    <w:r>
      <w:tab/>
      <w:t xml:space="preserve">Kenyatta </w:t>
    </w:r>
    <w:proofErr w:type="spellStart"/>
    <w:r>
      <w:t>Nyirenda</w:t>
    </w:r>
    <w:proofErr w:type="spellEnd"/>
    <w:r>
      <w:t>, J.</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9678F"/>
    <w:multiLevelType w:val="multilevel"/>
    <w:tmpl w:val="086448E6"/>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1">
    <w:nsid w:val="0C653EBC"/>
    <w:multiLevelType w:val="hybridMultilevel"/>
    <w:tmpl w:val="E836213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924237"/>
    <w:multiLevelType w:val="hybridMultilevel"/>
    <w:tmpl w:val="8D522BD6"/>
    <w:lvl w:ilvl="0" w:tplc="8648D9C8">
      <w:start w:val="1"/>
      <w:numFmt w:val="low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396B6D"/>
    <w:multiLevelType w:val="hybridMultilevel"/>
    <w:tmpl w:val="267A5ED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0BD4A97"/>
    <w:multiLevelType w:val="hybridMultilevel"/>
    <w:tmpl w:val="6A969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E62704"/>
    <w:multiLevelType w:val="hybridMultilevel"/>
    <w:tmpl w:val="A9B4FFEE"/>
    <w:lvl w:ilvl="0" w:tplc="5D4C9A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5"/>
  </w:num>
  <w:num w:numId="3">
    <w:abstractNumId w:val="2"/>
  </w:num>
  <w:num w:numId="4">
    <w:abstractNumId w:val="3"/>
  </w:num>
  <w:num w:numId="5">
    <w:abstractNumId w:val="4"/>
  </w:num>
  <w:num w:numId="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523"/>
    <w:rsid w:val="00001117"/>
    <w:rsid w:val="0000373F"/>
    <w:rsid w:val="00013884"/>
    <w:rsid w:val="000146E2"/>
    <w:rsid w:val="00024912"/>
    <w:rsid w:val="000330F1"/>
    <w:rsid w:val="000331C9"/>
    <w:rsid w:val="0003526D"/>
    <w:rsid w:val="000361AE"/>
    <w:rsid w:val="000374F9"/>
    <w:rsid w:val="00051B91"/>
    <w:rsid w:val="000521AB"/>
    <w:rsid w:val="00063460"/>
    <w:rsid w:val="000640E5"/>
    <w:rsid w:val="00065BF2"/>
    <w:rsid w:val="000662CF"/>
    <w:rsid w:val="00067261"/>
    <w:rsid w:val="0007094F"/>
    <w:rsid w:val="000808BB"/>
    <w:rsid w:val="00082583"/>
    <w:rsid w:val="0008644C"/>
    <w:rsid w:val="0008758E"/>
    <w:rsid w:val="00092834"/>
    <w:rsid w:val="000932ED"/>
    <w:rsid w:val="0009536B"/>
    <w:rsid w:val="00095B83"/>
    <w:rsid w:val="000A2C85"/>
    <w:rsid w:val="000A3B49"/>
    <w:rsid w:val="000A7A7F"/>
    <w:rsid w:val="000C32ED"/>
    <w:rsid w:val="000C6961"/>
    <w:rsid w:val="000D079D"/>
    <w:rsid w:val="000D1FC2"/>
    <w:rsid w:val="000D3D19"/>
    <w:rsid w:val="000E0A83"/>
    <w:rsid w:val="000E1B1A"/>
    <w:rsid w:val="000E22AF"/>
    <w:rsid w:val="000E26B8"/>
    <w:rsid w:val="000E5043"/>
    <w:rsid w:val="000F2997"/>
    <w:rsid w:val="000F2C9B"/>
    <w:rsid w:val="000F4964"/>
    <w:rsid w:val="000F53BE"/>
    <w:rsid w:val="00117FCE"/>
    <w:rsid w:val="0012323C"/>
    <w:rsid w:val="0012620A"/>
    <w:rsid w:val="001266AD"/>
    <w:rsid w:val="0012793D"/>
    <w:rsid w:val="00127CBC"/>
    <w:rsid w:val="00131132"/>
    <w:rsid w:val="001314C5"/>
    <w:rsid w:val="00133506"/>
    <w:rsid w:val="00134B06"/>
    <w:rsid w:val="00135FA1"/>
    <w:rsid w:val="0014324D"/>
    <w:rsid w:val="00147BEB"/>
    <w:rsid w:val="00151B12"/>
    <w:rsid w:val="001523DE"/>
    <w:rsid w:val="00153182"/>
    <w:rsid w:val="001534BD"/>
    <w:rsid w:val="00156B75"/>
    <w:rsid w:val="00157E5C"/>
    <w:rsid w:val="0016443C"/>
    <w:rsid w:val="0018040F"/>
    <w:rsid w:val="001833FD"/>
    <w:rsid w:val="00185CCE"/>
    <w:rsid w:val="001865BD"/>
    <w:rsid w:val="00193C10"/>
    <w:rsid w:val="00197DE3"/>
    <w:rsid w:val="001A250C"/>
    <w:rsid w:val="001A43BB"/>
    <w:rsid w:val="001A5310"/>
    <w:rsid w:val="001A568F"/>
    <w:rsid w:val="001B161C"/>
    <w:rsid w:val="001B79FF"/>
    <w:rsid w:val="001C30E8"/>
    <w:rsid w:val="001C587D"/>
    <w:rsid w:val="001D649F"/>
    <w:rsid w:val="001D7023"/>
    <w:rsid w:val="001F038F"/>
    <w:rsid w:val="001F43F3"/>
    <w:rsid w:val="001F47A2"/>
    <w:rsid w:val="001F52D6"/>
    <w:rsid w:val="001F557C"/>
    <w:rsid w:val="00200664"/>
    <w:rsid w:val="0020135B"/>
    <w:rsid w:val="002029F9"/>
    <w:rsid w:val="002032B6"/>
    <w:rsid w:val="00203B58"/>
    <w:rsid w:val="00203D16"/>
    <w:rsid w:val="00213269"/>
    <w:rsid w:val="002145CD"/>
    <w:rsid w:val="00216F4E"/>
    <w:rsid w:val="00220F36"/>
    <w:rsid w:val="00225D21"/>
    <w:rsid w:val="002320CD"/>
    <w:rsid w:val="00232A44"/>
    <w:rsid w:val="00232F7C"/>
    <w:rsid w:val="00233ED9"/>
    <w:rsid w:val="0024031F"/>
    <w:rsid w:val="00244096"/>
    <w:rsid w:val="00252797"/>
    <w:rsid w:val="00253318"/>
    <w:rsid w:val="002729B7"/>
    <w:rsid w:val="00280D15"/>
    <w:rsid w:val="00281D1F"/>
    <w:rsid w:val="00285036"/>
    <w:rsid w:val="0029117B"/>
    <w:rsid w:val="002913F8"/>
    <w:rsid w:val="0029303F"/>
    <w:rsid w:val="00296371"/>
    <w:rsid w:val="002A27F0"/>
    <w:rsid w:val="002A5982"/>
    <w:rsid w:val="002A69D0"/>
    <w:rsid w:val="002B6FEC"/>
    <w:rsid w:val="002C185C"/>
    <w:rsid w:val="002C4338"/>
    <w:rsid w:val="002C4421"/>
    <w:rsid w:val="002C6389"/>
    <w:rsid w:val="002D0B9A"/>
    <w:rsid w:val="002D5627"/>
    <w:rsid w:val="002D6AE2"/>
    <w:rsid w:val="002E0D87"/>
    <w:rsid w:val="002E13F4"/>
    <w:rsid w:val="002E1A59"/>
    <w:rsid w:val="002E3349"/>
    <w:rsid w:val="002F2128"/>
    <w:rsid w:val="002F38F9"/>
    <w:rsid w:val="002F4830"/>
    <w:rsid w:val="002F4C4D"/>
    <w:rsid w:val="002F7468"/>
    <w:rsid w:val="00304DC0"/>
    <w:rsid w:val="003124EA"/>
    <w:rsid w:val="003153DD"/>
    <w:rsid w:val="0031736F"/>
    <w:rsid w:val="003231C7"/>
    <w:rsid w:val="00324CF1"/>
    <w:rsid w:val="00324FE8"/>
    <w:rsid w:val="00331A2C"/>
    <w:rsid w:val="00331E6A"/>
    <w:rsid w:val="00333C30"/>
    <w:rsid w:val="00343EC1"/>
    <w:rsid w:val="00346C68"/>
    <w:rsid w:val="00351D9F"/>
    <w:rsid w:val="00353AD3"/>
    <w:rsid w:val="00360119"/>
    <w:rsid w:val="00366B15"/>
    <w:rsid w:val="003720A9"/>
    <w:rsid w:val="00372F9B"/>
    <w:rsid w:val="003744EB"/>
    <w:rsid w:val="00375B8F"/>
    <w:rsid w:val="003830EC"/>
    <w:rsid w:val="0038750D"/>
    <w:rsid w:val="00391DC4"/>
    <w:rsid w:val="00394099"/>
    <w:rsid w:val="003A33FD"/>
    <w:rsid w:val="003A69A2"/>
    <w:rsid w:val="003A7A6A"/>
    <w:rsid w:val="003B177F"/>
    <w:rsid w:val="003B2D15"/>
    <w:rsid w:val="003B7213"/>
    <w:rsid w:val="003B79CE"/>
    <w:rsid w:val="003C0DE3"/>
    <w:rsid w:val="003C24D2"/>
    <w:rsid w:val="003C25C1"/>
    <w:rsid w:val="003C4926"/>
    <w:rsid w:val="003C6CA3"/>
    <w:rsid w:val="003C7234"/>
    <w:rsid w:val="003D1C27"/>
    <w:rsid w:val="003D6A21"/>
    <w:rsid w:val="003E143D"/>
    <w:rsid w:val="003E1BF5"/>
    <w:rsid w:val="003E3974"/>
    <w:rsid w:val="003E6724"/>
    <w:rsid w:val="003F01F1"/>
    <w:rsid w:val="003F6AB7"/>
    <w:rsid w:val="003F7A63"/>
    <w:rsid w:val="00400D82"/>
    <w:rsid w:val="004027FF"/>
    <w:rsid w:val="00403EA0"/>
    <w:rsid w:val="00406BF7"/>
    <w:rsid w:val="004072E2"/>
    <w:rsid w:val="00411CDD"/>
    <w:rsid w:val="00416CFC"/>
    <w:rsid w:val="0042786F"/>
    <w:rsid w:val="00432EC8"/>
    <w:rsid w:val="00433363"/>
    <w:rsid w:val="00433E75"/>
    <w:rsid w:val="00442005"/>
    <w:rsid w:val="004457C7"/>
    <w:rsid w:val="00445B91"/>
    <w:rsid w:val="0045427D"/>
    <w:rsid w:val="00456391"/>
    <w:rsid w:val="004566A3"/>
    <w:rsid w:val="00456FBF"/>
    <w:rsid w:val="00461523"/>
    <w:rsid w:val="00463AC3"/>
    <w:rsid w:val="00464827"/>
    <w:rsid w:val="004676A3"/>
    <w:rsid w:val="004708F6"/>
    <w:rsid w:val="004710B7"/>
    <w:rsid w:val="00477599"/>
    <w:rsid w:val="004825C8"/>
    <w:rsid w:val="004865C9"/>
    <w:rsid w:val="00490A48"/>
    <w:rsid w:val="00490B74"/>
    <w:rsid w:val="0049751B"/>
    <w:rsid w:val="004A021F"/>
    <w:rsid w:val="004A07B4"/>
    <w:rsid w:val="004A17B4"/>
    <w:rsid w:val="004A1E08"/>
    <w:rsid w:val="004A3131"/>
    <w:rsid w:val="004A7628"/>
    <w:rsid w:val="004A7630"/>
    <w:rsid w:val="004B3FBB"/>
    <w:rsid w:val="004B6915"/>
    <w:rsid w:val="004C1511"/>
    <w:rsid w:val="004C1F28"/>
    <w:rsid w:val="004D2C03"/>
    <w:rsid w:val="004D584A"/>
    <w:rsid w:val="004E0A74"/>
    <w:rsid w:val="005026C3"/>
    <w:rsid w:val="00505B20"/>
    <w:rsid w:val="00505C99"/>
    <w:rsid w:val="0050671E"/>
    <w:rsid w:val="00506FA1"/>
    <w:rsid w:val="00507B47"/>
    <w:rsid w:val="00510FD0"/>
    <w:rsid w:val="00522B4E"/>
    <w:rsid w:val="0052305D"/>
    <w:rsid w:val="00525710"/>
    <w:rsid w:val="00525967"/>
    <w:rsid w:val="005270A8"/>
    <w:rsid w:val="00533EB3"/>
    <w:rsid w:val="00535829"/>
    <w:rsid w:val="005366E8"/>
    <w:rsid w:val="00536D46"/>
    <w:rsid w:val="0054126A"/>
    <w:rsid w:val="00542569"/>
    <w:rsid w:val="00547D17"/>
    <w:rsid w:val="00553950"/>
    <w:rsid w:val="0055525D"/>
    <w:rsid w:val="00557C42"/>
    <w:rsid w:val="005725D8"/>
    <w:rsid w:val="005765DF"/>
    <w:rsid w:val="00576FD9"/>
    <w:rsid w:val="00585B5A"/>
    <w:rsid w:val="00586A47"/>
    <w:rsid w:val="00592EEE"/>
    <w:rsid w:val="00594F1F"/>
    <w:rsid w:val="00595A0F"/>
    <w:rsid w:val="00597735"/>
    <w:rsid w:val="005A044D"/>
    <w:rsid w:val="005A37E2"/>
    <w:rsid w:val="005C0965"/>
    <w:rsid w:val="005C42A7"/>
    <w:rsid w:val="005C4B2A"/>
    <w:rsid w:val="005C7C12"/>
    <w:rsid w:val="005D0D5B"/>
    <w:rsid w:val="005D24A9"/>
    <w:rsid w:val="005D32A5"/>
    <w:rsid w:val="005D448F"/>
    <w:rsid w:val="005D4E93"/>
    <w:rsid w:val="005D7C4C"/>
    <w:rsid w:val="005E157D"/>
    <w:rsid w:val="005E21B5"/>
    <w:rsid w:val="005E2D11"/>
    <w:rsid w:val="005E405A"/>
    <w:rsid w:val="005E461E"/>
    <w:rsid w:val="005E71A8"/>
    <w:rsid w:val="005E7F5B"/>
    <w:rsid w:val="005F5069"/>
    <w:rsid w:val="005F652A"/>
    <w:rsid w:val="00603AD2"/>
    <w:rsid w:val="0061118C"/>
    <w:rsid w:val="00617CD8"/>
    <w:rsid w:val="006233D8"/>
    <w:rsid w:val="00623CA8"/>
    <w:rsid w:val="00625DAB"/>
    <w:rsid w:val="00632FAD"/>
    <w:rsid w:val="0063369C"/>
    <w:rsid w:val="006352DD"/>
    <w:rsid w:val="006421FF"/>
    <w:rsid w:val="0064253E"/>
    <w:rsid w:val="00646368"/>
    <w:rsid w:val="00647096"/>
    <w:rsid w:val="00652937"/>
    <w:rsid w:val="0065489D"/>
    <w:rsid w:val="0066024E"/>
    <w:rsid w:val="00663C5F"/>
    <w:rsid w:val="00665EDE"/>
    <w:rsid w:val="00666AB4"/>
    <w:rsid w:val="00666B88"/>
    <w:rsid w:val="006709AC"/>
    <w:rsid w:val="00675BA2"/>
    <w:rsid w:val="00683F8C"/>
    <w:rsid w:val="00685BDA"/>
    <w:rsid w:val="006869F1"/>
    <w:rsid w:val="00687B6E"/>
    <w:rsid w:val="00695EE4"/>
    <w:rsid w:val="006A13FD"/>
    <w:rsid w:val="006A5902"/>
    <w:rsid w:val="006A592F"/>
    <w:rsid w:val="006A66DC"/>
    <w:rsid w:val="006B1422"/>
    <w:rsid w:val="006B60BB"/>
    <w:rsid w:val="006C1167"/>
    <w:rsid w:val="006C349E"/>
    <w:rsid w:val="006C4E44"/>
    <w:rsid w:val="006D2E48"/>
    <w:rsid w:val="006D5355"/>
    <w:rsid w:val="006E1A18"/>
    <w:rsid w:val="006E3F4F"/>
    <w:rsid w:val="006E4638"/>
    <w:rsid w:val="006E4E94"/>
    <w:rsid w:val="006E5B3E"/>
    <w:rsid w:val="006E7F53"/>
    <w:rsid w:val="006F339C"/>
    <w:rsid w:val="0070031F"/>
    <w:rsid w:val="00701ADE"/>
    <w:rsid w:val="00705008"/>
    <w:rsid w:val="0070592B"/>
    <w:rsid w:val="00705E92"/>
    <w:rsid w:val="00712813"/>
    <w:rsid w:val="00720D85"/>
    <w:rsid w:val="00722FD1"/>
    <w:rsid w:val="00723FA2"/>
    <w:rsid w:val="007256C7"/>
    <w:rsid w:val="00730C4D"/>
    <w:rsid w:val="007339F0"/>
    <w:rsid w:val="00735F02"/>
    <w:rsid w:val="0074212B"/>
    <w:rsid w:val="0074646D"/>
    <w:rsid w:val="007478D9"/>
    <w:rsid w:val="0075016C"/>
    <w:rsid w:val="0075544D"/>
    <w:rsid w:val="007612F2"/>
    <w:rsid w:val="00764444"/>
    <w:rsid w:val="0077525C"/>
    <w:rsid w:val="007847DF"/>
    <w:rsid w:val="00784880"/>
    <w:rsid w:val="00787DD0"/>
    <w:rsid w:val="0079040E"/>
    <w:rsid w:val="0079185F"/>
    <w:rsid w:val="00793ED6"/>
    <w:rsid w:val="00797E06"/>
    <w:rsid w:val="007A5CF1"/>
    <w:rsid w:val="007A7AA1"/>
    <w:rsid w:val="007B2F2E"/>
    <w:rsid w:val="007B5396"/>
    <w:rsid w:val="007B6969"/>
    <w:rsid w:val="007C4DEC"/>
    <w:rsid w:val="007C69D7"/>
    <w:rsid w:val="007C7017"/>
    <w:rsid w:val="007D2F0B"/>
    <w:rsid w:val="007D3A00"/>
    <w:rsid w:val="007D4C99"/>
    <w:rsid w:val="007D667D"/>
    <w:rsid w:val="007E2371"/>
    <w:rsid w:val="007E25FD"/>
    <w:rsid w:val="007E6B6C"/>
    <w:rsid w:val="007F14F0"/>
    <w:rsid w:val="00801358"/>
    <w:rsid w:val="008017AB"/>
    <w:rsid w:val="008022E7"/>
    <w:rsid w:val="00802AC7"/>
    <w:rsid w:val="00802ED8"/>
    <w:rsid w:val="00803FFD"/>
    <w:rsid w:val="00806CEE"/>
    <w:rsid w:val="00811BD7"/>
    <w:rsid w:val="00815C14"/>
    <w:rsid w:val="00817862"/>
    <w:rsid w:val="008207E9"/>
    <w:rsid w:val="008215F7"/>
    <w:rsid w:val="00823217"/>
    <w:rsid w:val="00824855"/>
    <w:rsid w:val="00824C33"/>
    <w:rsid w:val="008260F6"/>
    <w:rsid w:val="00832E0E"/>
    <w:rsid w:val="008340E2"/>
    <w:rsid w:val="00835B9D"/>
    <w:rsid w:val="0083692E"/>
    <w:rsid w:val="00840668"/>
    <w:rsid w:val="0084395D"/>
    <w:rsid w:val="00844423"/>
    <w:rsid w:val="008457D1"/>
    <w:rsid w:val="00850069"/>
    <w:rsid w:val="00853D72"/>
    <w:rsid w:val="0085415F"/>
    <w:rsid w:val="00857412"/>
    <w:rsid w:val="008609E6"/>
    <w:rsid w:val="00865069"/>
    <w:rsid w:val="00867A9D"/>
    <w:rsid w:val="008704D7"/>
    <w:rsid w:val="008759D2"/>
    <w:rsid w:val="0087703F"/>
    <w:rsid w:val="00877250"/>
    <w:rsid w:val="008801E8"/>
    <w:rsid w:val="00881554"/>
    <w:rsid w:val="00887C1F"/>
    <w:rsid w:val="008908D8"/>
    <w:rsid w:val="00895082"/>
    <w:rsid w:val="0089685A"/>
    <w:rsid w:val="008A755B"/>
    <w:rsid w:val="008C6287"/>
    <w:rsid w:val="008C707D"/>
    <w:rsid w:val="008D1921"/>
    <w:rsid w:val="008E07DF"/>
    <w:rsid w:val="008E146D"/>
    <w:rsid w:val="008E23C6"/>
    <w:rsid w:val="008E387F"/>
    <w:rsid w:val="008E4E57"/>
    <w:rsid w:val="008E517A"/>
    <w:rsid w:val="008F4E66"/>
    <w:rsid w:val="009019EA"/>
    <w:rsid w:val="00903503"/>
    <w:rsid w:val="009038B3"/>
    <w:rsid w:val="00905752"/>
    <w:rsid w:val="00910D3E"/>
    <w:rsid w:val="00914307"/>
    <w:rsid w:val="00914577"/>
    <w:rsid w:val="00920D4D"/>
    <w:rsid w:val="00925084"/>
    <w:rsid w:val="00925086"/>
    <w:rsid w:val="00927A8F"/>
    <w:rsid w:val="00930747"/>
    <w:rsid w:val="00932A1D"/>
    <w:rsid w:val="00935071"/>
    <w:rsid w:val="00942DF9"/>
    <w:rsid w:val="00947B42"/>
    <w:rsid w:val="00952856"/>
    <w:rsid w:val="009538F0"/>
    <w:rsid w:val="00955348"/>
    <w:rsid w:val="00955B67"/>
    <w:rsid w:val="009603B1"/>
    <w:rsid w:val="0096140E"/>
    <w:rsid w:val="00961DB2"/>
    <w:rsid w:val="0096263D"/>
    <w:rsid w:val="00964C83"/>
    <w:rsid w:val="00964E57"/>
    <w:rsid w:val="00965EF6"/>
    <w:rsid w:val="00976641"/>
    <w:rsid w:val="009773AC"/>
    <w:rsid w:val="00981F2D"/>
    <w:rsid w:val="009854F4"/>
    <w:rsid w:val="009863DD"/>
    <w:rsid w:val="009A4EFD"/>
    <w:rsid w:val="009A7045"/>
    <w:rsid w:val="009B03FD"/>
    <w:rsid w:val="009B18DA"/>
    <w:rsid w:val="009B2419"/>
    <w:rsid w:val="009B70CF"/>
    <w:rsid w:val="009B7392"/>
    <w:rsid w:val="009B799C"/>
    <w:rsid w:val="009C0187"/>
    <w:rsid w:val="009C083B"/>
    <w:rsid w:val="009C1F56"/>
    <w:rsid w:val="009C26E9"/>
    <w:rsid w:val="009C36FE"/>
    <w:rsid w:val="009C4860"/>
    <w:rsid w:val="009D3DF3"/>
    <w:rsid w:val="009D539E"/>
    <w:rsid w:val="009E15C9"/>
    <w:rsid w:val="009F0B00"/>
    <w:rsid w:val="009F1B3F"/>
    <w:rsid w:val="009F5385"/>
    <w:rsid w:val="00A02949"/>
    <w:rsid w:val="00A10C91"/>
    <w:rsid w:val="00A15C84"/>
    <w:rsid w:val="00A20520"/>
    <w:rsid w:val="00A3193E"/>
    <w:rsid w:val="00A32E62"/>
    <w:rsid w:val="00A33787"/>
    <w:rsid w:val="00A42C6F"/>
    <w:rsid w:val="00A45739"/>
    <w:rsid w:val="00A51B12"/>
    <w:rsid w:val="00A53BE2"/>
    <w:rsid w:val="00A53E2F"/>
    <w:rsid w:val="00A55F5C"/>
    <w:rsid w:val="00A63065"/>
    <w:rsid w:val="00A71AA3"/>
    <w:rsid w:val="00A72260"/>
    <w:rsid w:val="00A729E4"/>
    <w:rsid w:val="00A746D9"/>
    <w:rsid w:val="00A827CF"/>
    <w:rsid w:val="00A8306F"/>
    <w:rsid w:val="00A83371"/>
    <w:rsid w:val="00A86F06"/>
    <w:rsid w:val="00A92F3A"/>
    <w:rsid w:val="00AA17AC"/>
    <w:rsid w:val="00AA507D"/>
    <w:rsid w:val="00AA7A3E"/>
    <w:rsid w:val="00AB04E1"/>
    <w:rsid w:val="00AB0508"/>
    <w:rsid w:val="00AB0E2A"/>
    <w:rsid w:val="00AB150C"/>
    <w:rsid w:val="00AB2C46"/>
    <w:rsid w:val="00AB39DD"/>
    <w:rsid w:val="00AB3ED6"/>
    <w:rsid w:val="00AB6A98"/>
    <w:rsid w:val="00AC08E6"/>
    <w:rsid w:val="00AC16BA"/>
    <w:rsid w:val="00AC1E56"/>
    <w:rsid w:val="00AC3E1E"/>
    <w:rsid w:val="00AC3F44"/>
    <w:rsid w:val="00AD000C"/>
    <w:rsid w:val="00AD030E"/>
    <w:rsid w:val="00AD4693"/>
    <w:rsid w:val="00AD5AC9"/>
    <w:rsid w:val="00AD601A"/>
    <w:rsid w:val="00AE2748"/>
    <w:rsid w:val="00AF0F8F"/>
    <w:rsid w:val="00AF35B8"/>
    <w:rsid w:val="00AF3A47"/>
    <w:rsid w:val="00AF40A5"/>
    <w:rsid w:val="00AF43BC"/>
    <w:rsid w:val="00AF5429"/>
    <w:rsid w:val="00AF7D33"/>
    <w:rsid w:val="00B0072B"/>
    <w:rsid w:val="00B02B45"/>
    <w:rsid w:val="00B0347B"/>
    <w:rsid w:val="00B14C15"/>
    <w:rsid w:val="00B15FE4"/>
    <w:rsid w:val="00B204F6"/>
    <w:rsid w:val="00B20629"/>
    <w:rsid w:val="00B22103"/>
    <w:rsid w:val="00B255CE"/>
    <w:rsid w:val="00B27BA6"/>
    <w:rsid w:val="00B32112"/>
    <w:rsid w:val="00B338CA"/>
    <w:rsid w:val="00B405DD"/>
    <w:rsid w:val="00B44EEF"/>
    <w:rsid w:val="00B45F49"/>
    <w:rsid w:val="00B51982"/>
    <w:rsid w:val="00B541BF"/>
    <w:rsid w:val="00B55BD2"/>
    <w:rsid w:val="00B60D1D"/>
    <w:rsid w:val="00B61735"/>
    <w:rsid w:val="00B67975"/>
    <w:rsid w:val="00B75DCF"/>
    <w:rsid w:val="00B77871"/>
    <w:rsid w:val="00B8786C"/>
    <w:rsid w:val="00B91FEF"/>
    <w:rsid w:val="00B9269D"/>
    <w:rsid w:val="00B935EE"/>
    <w:rsid w:val="00B95AB8"/>
    <w:rsid w:val="00BA0973"/>
    <w:rsid w:val="00BA6CC5"/>
    <w:rsid w:val="00BB056E"/>
    <w:rsid w:val="00BB2F1F"/>
    <w:rsid w:val="00BB7DB7"/>
    <w:rsid w:val="00BC6CF8"/>
    <w:rsid w:val="00BD0722"/>
    <w:rsid w:val="00BD29E5"/>
    <w:rsid w:val="00BD2A24"/>
    <w:rsid w:val="00BD37F3"/>
    <w:rsid w:val="00BD5407"/>
    <w:rsid w:val="00BD6621"/>
    <w:rsid w:val="00BE094A"/>
    <w:rsid w:val="00BE1650"/>
    <w:rsid w:val="00BE17C0"/>
    <w:rsid w:val="00C028CB"/>
    <w:rsid w:val="00C029C7"/>
    <w:rsid w:val="00C02C1D"/>
    <w:rsid w:val="00C0372C"/>
    <w:rsid w:val="00C04A5A"/>
    <w:rsid w:val="00C14486"/>
    <w:rsid w:val="00C16817"/>
    <w:rsid w:val="00C24F75"/>
    <w:rsid w:val="00C25F43"/>
    <w:rsid w:val="00C32D1A"/>
    <w:rsid w:val="00C340D6"/>
    <w:rsid w:val="00C34D45"/>
    <w:rsid w:val="00C357D8"/>
    <w:rsid w:val="00C36DE3"/>
    <w:rsid w:val="00C37CA8"/>
    <w:rsid w:val="00C4028C"/>
    <w:rsid w:val="00C40CE6"/>
    <w:rsid w:val="00C45F3C"/>
    <w:rsid w:val="00C50F6B"/>
    <w:rsid w:val="00C5428B"/>
    <w:rsid w:val="00C56491"/>
    <w:rsid w:val="00C62692"/>
    <w:rsid w:val="00C67A81"/>
    <w:rsid w:val="00C75DA6"/>
    <w:rsid w:val="00C83692"/>
    <w:rsid w:val="00C84497"/>
    <w:rsid w:val="00C865DA"/>
    <w:rsid w:val="00C878B1"/>
    <w:rsid w:val="00C879EB"/>
    <w:rsid w:val="00C912EA"/>
    <w:rsid w:val="00C92CF3"/>
    <w:rsid w:val="00C943EE"/>
    <w:rsid w:val="00C95626"/>
    <w:rsid w:val="00C96955"/>
    <w:rsid w:val="00C97D4E"/>
    <w:rsid w:val="00CA63C6"/>
    <w:rsid w:val="00CB0548"/>
    <w:rsid w:val="00CB424B"/>
    <w:rsid w:val="00CB77F9"/>
    <w:rsid w:val="00CB7841"/>
    <w:rsid w:val="00CD394A"/>
    <w:rsid w:val="00CD41CB"/>
    <w:rsid w:val="00CD6128"/>
    <w:rsid w:val="00CE09A8"/>
    <w:rsid w:val="00CF3FE8"/>
    <w:rsid w:val="00CF51D7"/>
    <w:rsid w:val="00CF5C8C"/>
    <w:rsid w:val="00D11002"/>
    <w:rsid w:val="00D1137F"/>
    <w:rsid w:val="00D11A78"/>
    <w:rsid w:val="00D14013"/>
    <w:rsid w:val="00D14D33"/>
    <w:rsid w:val="00D22C64"/>
    <w:rsid w:val="00D22C8E"/>
    <w:rsid w:val="00D24360"/>
    <w:rsid w:val="00D24998"/>
    <w:rsid w:val="00D2695D"/>
    <w:rsid w:val="00D367A5"/>
    <w:rsid w:val="00D44907"/>
    <w:rsid w:val="00D458D1"/>
    <w:rsid w:val="00D476D2"/>
    <w:rsid w:val="00D5044E"/>
    <w:rsid w:val="00D516CF"/>
    <w:rsid w:val="00D51FAB"/>
    <w:rsid w:val="00D52B18"/>
    <w:rsid w:val="00D53CF5"/>
    <w:rsid w:val="00D53E53"/>
    <w:rsid w:val="00D61FBE"/>
    <w:rsid w:val="00D62BC8"/>
    <w:rsid w:val="00D66BCC"/>
    <w:rsid w:val="00D72787"/>
    <w:rsid w:val="00D75289"/>
    <w:rsid w:val="00D81237"/>
    <w:rsid w:val="00D86633"/>
    <w:rsid w:val="00D9728A"/>
    <w:rsid w:val="00DA089F"/>
    <w:rsid w:val="00DA4751"/>
    <w:rsid w:val="00DB04A6"/>
    <w:rsid w:val="00DB6634"/>
    <w:rsid w:val="00DC1788"/>
    <w:rsid w:val="00DC25EA"/>
    <w:rsid w:val="00DD1F92"/>
    <w:rsid w:val="00DD53D9"/>
    <w:rsid w:val="00DD62BF"/>
    <w:rsid w:val="00DE3686"/>
    <w:rsid w:val="00DE6227"/>
    <w:rsid w:val="00E01924"/>
    <w:rsid w:val="00E05AB5"/>
    <w:rsid w:val="00E06F60"/>
    <w:rsid w:val="00E108FB"/>
    <w:rsid w:val="00E127B3"/>
    <w:rsid w:val="00E135C2"/>
    <w:rsid w:val="00E13965"/>
    <w:rsid w:val="00E17FE8"/>
    <w:rsid w:val="00E2220C"/>
    <w:rsid w:val="00E23F84"/>
    <w:rsid w:val="00E314D2"/>
    <w:rsid w:val="00E34543"/>
    <w:rsid w:val="00E506CD"/>
    <w:rsid w:val="00E50CBE"/>
    <w:rsid w:val="00E54A52"/>
    <w:rsid w:val="00E6696B"/>
    <w:rsid w:val="00E66AD0"/>
    <w:rsid w:val="00E727C3"/>
    <w:rsid w:val="00E8267E"/>
    <w:rsid w:val="00E83521"/>
    <w:rsid w:val="00E96DDC"/>
    <w:rsid w:val="00EA075D"/>
    <w:rsid w:val="00EA1D41"/>
    <w:rsid w:val="00EA1F83"/>
    <w:rsid w:val="00EA289E"/>
    <w:rsid w:val="00EA3FE9"/>
    <w:rsid w:val="00EA4A7E"/>
    <w:rsid w:val="00EA55D6"/>
    <w:rsid w:val="00EA618C"/>
    <w:rsid w:val="00EA648C"/>
    <w:rsid w:val="00EB0790"/>
    <w:rsid w:val="00EB3EE3"/>
    <w:rsid w:val="00EB6DD0"/>
    <w:rsid w:val="00EB72D0"/>
    <w:rsid w:val="00EC00EC"/>
    <w:rsid w:val="00EC23F5"/>
    <w:rsid w:val="00ED2E8A"/>
    <w:rsid w:val="00ED5977"/>
    <w:rsid w:val="00EE470B"/>
    <w:rsid w:val="00EF1A8C"/>
    <w:rsid w:val="00EF23C0"/>
    <w:rsid w:val="00F00892"/>
    <w:rsid w:val="00F02B5E"/>
    <w:rsid w:val="00F04AFB"/>
    <w:rsid w:val="00F05BA4"/>
    <w:rsid w:val="00F13B1B"/>
    <w:rsid w:val="00F25BDA"/>
    <w:rsid w:val="00F32C81"/>
    <w:rsid w:val="00F42243"/>
    <w:rsid w:val="00F42A7D"/>
    <w:rsid w:val="00F4438A"/>
    <w:rsid w:val="00F4626D"/>
    <w:rsid w:val="00F5022B"/>
    <w:rsid w:val="00F52E4C"/>
    <w:rsid w:val="00F55EDB"/>
    <w:rsid w:val="00F57781"/>
    <w:rsid w:val="00F601F2"/>
    <w:rsid w:val="00F62C12"/>
    <w:rsid w:val="00F64466"/>
    <w:rsid w:val="00F706C8"/>
    <w:rsid w:val="00F76850"/>
    <w:rsid w:val="00F806F3"/>
    <w:rsid w:val="00F83F62"/>
    <w:rsid w:val="00F94314"/>
    <w:rsid w:val="00FA2279"/>
    <w:rsid w:val="00FA24D9"/>
    <w:rsid w:val="00FA7507"/>
    <w:rsid w:val="00FB2972"/>
    <w:rsid w:val="00FC0B94"/>
    <w:rsid w:val="00FC2503"/>
    <w:rsid w:val="00FC304F"/>
    <w:rsid w:val="00FC672C"/>
    <w:rsid w:val="00FD0B50"/>
    <w:rsid w:val="00FD27E0"/>
    <w:rsid w:val="00FE18C6"/>
    <w:rsid w:val="00FE28AA"/>
    <w:rsid w:val="00FE36D2"/>
    <w:rsid w:val="00FE5F24"/>
    <w:rsid w:val="00FE76DC"/>
    <w:rsid w:val="00FF3425"/>
    <w:rsid w:val="00FF3778"/>
    <w:rsid w:val="00FF5CC8"/>
    <w:rsid w:val="00FF5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287"/>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61523"/>
    <w:rPr>
      <w:sz w:val="22"/>
      <w:szCs w:val="22"/>
      <w:lang w:val="en-US" w:eastAsia="en-US"/>
    </w:rPr>
  </w:style>
  <w:style w:type="paragraph" w:styleId="Header">
    <w:name w:val="header"/>
    <w:basedOn w:val="Normal"/>
    <w:link w:val="HeaderChar"/>
    <w:uiPriority w:val="99"/>
    <w:unhideWhenUsed/>
    <w:rsid w:val="008C62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6287"/>
  </w:style>
  <w:style w:type="paragraph" w:styleId="Footer">
    <w:name w:val="footer"/>
    <w:basedOn w:val="Normal"/>
    <w:link w:val="FooterChar"/>
    <w:uiPriority w:val="99"/>
    <w:unhideWhenUsed/>
    <w:rsid w:val="008C62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287"/>
  </w:style>
  <w:style w:type="paragraph" w:styleId="ListParagraph">
    <w:name w:val="List Paragraph"/>
    <w:basedOn w:val="Normal"/>
    <w:uiPriority w:val="34"/>
    <w:qFormat/>
    <w:rsid w:val="00C16817"/>
    <w:pPr>
      <w:spacing w:after="0" w:line="240" w:lineRule="auto"/>
      <w:ind w:left="720"/>
    </w:pPr>
    <w:rPr>
      <w:rFonts w:ascii="Times New Roman" w:eastAsia="Times New Roman" w:hAnsi="Times New Roman"/>
      <w:sz w:val="24"/>
      <w:szCs w:val="24"/>
    </w:rPr>
  </w:style>
  <w:style w:type="character" w:customStyle="1" w:styleId="NoSpacingChar">
    <w:name w:val="No Spacing Char"/>
    <w:basedOn w:val="DefaultParagraphFont"/>
    <w:link w:val="NoSpacing"/>
    <w:uiPriority w:val="1"/>
    <w:rsid w:val="00F52E4C"/>
    <w:rPr>
      <w:sz w:val="22"/>
      <w:szCs w:val="22"/>
      <w:lang w:val="en-US" w:eastAsia="en-US"/>
    </w:rPr>
  </w:style>
  <w:style w:type="paragraph" w:styleId="BalloonText">
    <w:name w:val="Balloon Text"/>
    <w:basedOn w:val="Normal"/>
    <w:link w:val="BalloonTextChar"/>
    <w:uiPriority w:val="99"/>
    <w:semiHidden/>
    <w:unhideWhenUsed/>
    <w:rsid w:val="00961D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1DB2"/>
    <w:rPr>
      <w:rFonts w:ascii="Segoe UI" w:hAnsi="Segoe UI" w:cs="Segoe UI"/>
      <w:sz w:val="18"/>
      <w:szCs w:val="18"/>
      <w:lang w:val="en-US" w:eastAsia="en-US"/>
    </w:rPr>
  </w:style>
  <w:style w:type="paragraph" w:styleId="FootnoteText">
    <w:name w:val="footnote text"/>
    <w:basedOn w:val="Normal"/>
    <w:link w:val="FootnoteTextChar"/>
    <w:uiPriority w:val="99"/>
    <w:semiHidden/>
    <w:unhideWhenUsed/>
    <w:rsid w:val="00C02C1D"/>
    <w:pPr>
      <w:spacing w:after="0" w:line="240" w:lineRule="auto"/>
    </w:pPr>
    <w:rPr>
      <w:rFonts w:asciiTheme="minorHAnsi" w:eastAsiaTheme="minorHAnsi" w:hAnsiTheme="minorHAnsi" w:cstheme="minorBidi"/>
      <w:sz w:val="20"/>
      <w:szCs w:val="20"/>
      <w:lang w:val="en-ZW"/>
    </w:rPr>
  </w:style>
  <w:style w:type="character" w:customStyle="1" w:styleId="FootnoteTextChar">
    <w:name w:val="Footnote Text Char"/>
    <w:basedOn w:val="DefaultParagraphFont"/>
    <w:link w:val="FootnoteText"/>
    <w:uiPriority w:val="99"/>
    <w:semiHidden/>
    <w:rsid w:val="00C02C1D"/>
    <w:rPr>
      <w:rFonts w:asciiTheme="minorHAnsi" w:eastAsiaTheme="minorHAnsi" w:hAnsiTheme="minorHAnsi" w:cstheme="minorBidi"/>
      <w:lang w:val="en-ZW" w:eastAsia="en-US"/>
    </w:rPr>
  </w:style>
  <w:style w:type="character" w:styleId="FootnoteReference">
    <w:name w:val="footnote reference"/>
    <w:basedOn w:val="DefaultParagraphFont"/>
    <w:uiPriority w:val="99"/>
    <w:semiHidden/>
    <w:unhideWhenUsed/>
    <w:rsid w:val="00C02C1D"/>
    <w:rPr>
      <w:vertAlign w:val="superscript"/>
    </w:rPr>
  </w:style>
  <w:style w:type="paragraph" w:customStyle="1" w:styleId="Default">
    <w:name w:val="Default"/>
    <w:rsid w:val="00720D85"/>
    <w:pPr>
      <w:autoSpaceDE w:val="0"/>
      <w:autoSpaceDN w:val="0"/>
      <w:adjustRightInd w:val="0"/>
    </w:pPr>
    <w:rPr>
      <w:rFonts w:ascii="Times New Roman" w:hAnsi="Times New Roman"/>
      <w:color w:val="000000"/>
      <w:sz w:val="24"/>
      <w:szCs w:val="24"/>
      <w:lang w:val="en-US" w:eastAsia="en-US"/>
    </w:rPr>
  </w:style>
  <w:style w:type="paragraph" w:customStyle="1" w:styleId="yiv2997749813msonormal">
    <w:name w:val="yiv2997749813msonormal"/>
    <w:basedOn w:val="Normal"/>
    <w:rsid w:val="0061118C"/>
    <w:pPr>
      <w:spacing w:before="100" w:beforeAutospacing="1" w:after="100" w:afterAutospacing="1" w:line="240" w:lineRule="auto"/>
    </w:pPr>
    <w:rPr>
      <w:rFonts w:ascii="Times New Roman" w:eastAsia="Times New Roman" w:hAnsi="Times New Roman"/>
      <w:sz w:val="24"/>
      <w:szCs w:val="24"/>
      <w:lang w:val="en-GB" w:eastAsia="en-GB"/>
    </w:rPr>
  </w:style>
  <w:style w:type="character" w:styleId="Hyperlink">
    <w:name w:val="Hyperlink"/>
    <w:basedOn w:val="DefaultParagraphFont"/>
    <w:uiPriority w:val="99"/>
    <w:unhideWhenUsed/>
    <w:rsid w:val="008609E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287"/>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61523"/>
    <w:rPr>
      <w:sz w:val="22"/>
      <w:szCs w:val="22"/>
      <w:lang w:val="en-US" w:eastAsia="en-US"/>
    </w:rPr>
  </w:style>
  <w:style w:type="paragraph" w:styleId="Header">
    <w:name w:val="header"/>
    <w:basedOn w:val="Normal"/>
    <w:link w:val="HeaderChar"/>
    <w:uiPriority w:val="99"/>
    <w:unhideWhenUsed/>
    <w:rsid w:val="008C62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6287"/>
  </w:style>
  <w:style w:type="paragraph" w:styleId="Footer">
    <w:name w:val="footer"/>
    <w:basedOn w:val="Normal"/>
    <w:link w:val="FooterChar"/>
    <w:uiPriority w:val="99"/>
    <w:unhideWhenUsed/>
    <w:rsid w:val="008C62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287"/>
  </w:style>
  <w:style w:type="paragraph" w:styleId="ListParagraph">
    <w:name w:val="List Paragraph"/>
    <w:basedOn w:val="Normal"/>
    <w:uiPriority w:val="34"/>
    <w:qFormat/>
    <w:rsid w:val="00C16817"/>
    <w:pPr>
      <w:spacing w:after="0" w:line="240" w:lineRule="auto"/>
      <w:ind w:left="720"/>
    </w:pPr>
    <w:rPr>
      <w:rFonts w:ascii="Times New Roman" w:eastAsia="Times New Roman" w:hAnsi="Times New Roman"/>
      <w:sz w:val="24"/>
      <w:szCs w:val="24"/>
    </w:rPr>
  </w:style>
  <w:style w:type="character" w:customStyle="1" w:styleId="NoSpacingChar">
    <w:name w:val="No Spacing Char"/>
    <w:basedOn w:val="DefaultParagraphFont"/>
    <w:link w:val="NoSpacing"/>
    <w:uiPriority w:val="1"/>
    <w:rsid w:val="00F52E4C"/>
    <w:rPr>
      <w:sz w:val="22"/>
      <w:szCs w:val="22"/>
      <w:lang w:val="en-US" w:eastAsia="en-US"/>
    </w:rPr>
  </w:style>
  <w:style w:type="paragraph" w:styleId="BalloonText">
    <w:name w:val="Balloon Text"/>
    <w:basedOn w:val="Normal"/>
    <w:link w:val="BalloonTextChar"/>
    <w:uiPriority w:val="99"/>
    <w:semiHidden/>
    <w:unhideWhenUsed/>
    <w:rsid w:val="00961D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1DB2"/>
    <w:rPr>
      <w:rFonts w:ascii="Segoe UI" w:hAnsi="Segoe UI" w:cs="Segoe UI"/>
      <w:sz w:val="18"/>
      <w:szCs w:val="18"/>
      <w:lang w:val="en-US" w:eastAsia="en-US"/>
    </w:rPr>
  </w:style>
  <w:style w:type="paragraph" w:styleId="FootnoteText">
    <w:name w:val="footnote text"/>
    <w:basedOn w:val="Normal"/>
    <w:link w:val="FootnoteTextChar"/>
    <w:uiPriority w:val="99"/>
    <w:semiHidden/>
    <w:unhideWhenUsed/>
    <w:rsid w:val="00C02C1D"/>
    <w:pPr>
      <w:spacing w:after="0" w:line="240" w:lineRule="auto"/>
    </w:pPr>
    <w:rPr>
      <w:rFonts w:asciiTheme="minorHAnsi" w:eastAsiaTheme="minorHAnsi" w:hAnsiTheme="minorHAnsi" w:cstheme="minorBidi"/>
      <w:sz w:val="20"/>
      <w:szCs w:val="20"/>
      <w:lang w:val="en-ZW"/>
    </w:rPr>
  </w:style>
  <w:style w:type="character" w:customStyle="1" w:styleId="FootnoteTextChar">
    <w:name w:val="Footnote Text Char"/>
    <w:basedOn w:val="DefaultParagraphFont"/>
    <w:link w:val="FootnoteText"/>
    <w:uiPriority w:val="99"/>
    <w:semiHidden/>
    <w:rsid w:val="00C02C1D"/>
    <w:rPr>
      <w:rFonts w:asciiTheme="minorHAnsi" w:eastAsiaTheme="minorHAnsi" w:hAnsiTheme="minorHAnsi" w:cstheme="minorBidi"/>
      <w:lang w:val="en-ZW" w:eastAsia="en-US"/>
    </w:rPr>
  </w:style>
  <w:style w:type="character" w:styleId="FootnoteReference">
    <w:name w:val="footnote reference"/>
    <w:basedOn w:val="DefaultParagraphFont"/>
    <w:uiPriority w:val="99"/>
    <w:semiHidden/>
    <w:unhideWhenUsed/>
    <w:rsid w:val="00C02C1D"/>
    <w:rPr>
      <w:vertAlign w:val="superscript"/>
    </w:rPr>
  </w:style>
  <w:style w:type="paragraph" w:customStyle="1" w:styleId="Default">
    <w:name w:val="Default"/>
    <w:rsid w:val="00720D85"/>
    <w:pPr>
      <w:autoSpaceDE w:val="0"/>
      <w:autoSpaceDN w:val="0"/>
      <w:adjustRightInd w:val="0"/>
    </w:pPr>
    <w:rPr>
      <w:rFonts w:ascii="Times New Roman" w:hAnsi="Times New Roman"/>
      <w:color w:val="000000"/>
      <w:sz w:val="24"/>
      <w:szCs w:val="24"/>
      <w:lang w:val="en-US" w:eastAsia="en-US"/>
    </w:rPr>
  </w:style>
  <w:style w:type="paragraph" w:customStyle="1" w:styleId="yiv2997749813msonormal">
    <w:name w:val="yiv2997749813msonormal"/>
    <w:basedOn w:val="Normal"/>
    <w:rsid w:val="0061118C"/>
    <w:pPr>
      <w:spacing w:before="100" w:beforeAutospacing="1" w:after="100" w:afterAutospacing="1" w:line="240" w:lineRule="auto"/>
    </w:pPr>
    <w:rPr>
      <w:rFonts w:ascii="Times New Roman" w:eastAsia="Times New Roman" w:hAnsi="Times New Roman"/>
      <w:sz w:val="24"/>
      <w:szCs w:val="24"/>
      <w:lang w:val="en-GB" w:eastAsia="en-GB"/>
    </w:rPr>
  </w:style>
  <w:style w:type="character" w:styleId="Hyperlink">
    <w:name w:val="Hyperlink"/>
    <w:basedOn w:val="DefaultParagraphFont"/>
    <w:uiPriority w:val="99"/>
    <w:unhideWhenUsed/>
    <w:rsid w:val="008609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175607">
      <w:bodyDiv w:val="1"/>
      <w:marLeft w:val="0"/>
      <w:marRight w:val="0"/>
      <w:marTop w:val="0"/>
      <w:marBottom w:val="0"/>
      <w:divBdr>
        <w:top w:val="none" w:sz="0" w:space="0" w:color="auto"/>
        <w:left w:val="none" w:sz="0" w:space="0" w:color="auto"/>
        <w:bottom w:val="none" w:sz="0" w:space="0" w:color="auto"/>
        <w:right w:val="none" w:sz="0" w:space="0" w:color="auto"/>
      </w:divBdr>
      <w:divsChild>
        <w:div w:id="1507865412">
          <w:marLeft w:val="0"/>
          <w:marRight w:val="0"/>
          <w:marTop w:val="0"/>
          <w:marBottom w:val="0"/>
          <w:divBdr>
            <w:top w:val="none" w:sz="0" w:space="0" w:color="auto"/>
            <w:left w:val="none" w:sz="0" w:space="0" w:color="auto"/>
            <w:bottom w:val="none" w:sz="0" w:space="0" w:color="auto"/>
            <w:right w:val="none" w:sz="0" w:space="0" w:color="auto"/>
          </w:divBdr>
          <w:divsChild>
            <w:div w:id="427893666">
              <w:marLeft w:val="0"/>
              <w:marRight w:val="0"/>
              <w:marTop w:val="0"/>
              <w:marBottom w:val="0"/>
              <w:divBdr>
                <w:top w:val="none" w:sz="0" w:space="0" w:color="auto"/>
                <w:left w:val="none" w:sz="0" w:space="0" w:color="auto"/>
                <w:bottom w:val="none" w:sz="0" w:space="0" w:color="auto"/>
                <w:right w:val="none" w:sz="0" w:space="0" w:color="auto"/>
              </w:divBdr>
            </w:div>
            <w:div w:id="52236042">
              <w:marLeft w:val="0"/>
              <w:marRight w:val="0"/>
              <w:marTop w:val="0"/>
              <w:marBottom w:val="0"/>
              <w:divBdr>
                <w:top w:val="none" w:sz="0" w:space="0" w:color="auto"/>
                <w:left w:val="none" w:sz="0" w:space="0" w:color="auto"/>
                <w:bottom w:val="none" w:sz="0" w:space="0" w:color="auto"/>
                <w:right w:val="none" w:sz="0" w:space="0" w:color="auto"/>
              </w:divBdr>
            </w:div>
            <w:div w:id="1984042956">
              <w:marLeft w:val="0"/>
              <w:marRight w:val="0"/>
              <w:marTop w:val="0"/>
              <w:marBottom w:val="0"/>
              <w:divBdr>
                <w:top w:val="none" w:sz="0" w:space="0" w:color="auto"/>
                <w:left w:val="none" w:sz="0" w:space="0" w:color="auto"/>
                <w:bottom w:val="none" w:sz="0" w:space="0" w:color="auto"/>
                <w:right w:val="none" w:sz="0" w:space="0" w:color="auto"/>
              </w:divBdr>
            </w:div>
            <w:div w:id="122432826">
              <w:marLeft w:val="0"/>
              <w:marRight w:val="0"/>
              <w:marTop w:val="0"/>
              <w:marBottom w:val="0"/>
              <w:divBdr>
                <w:top w:val="none" w:sz="0" w:space="0" w:color="auto"/>
                <w:left w:val="none" w:sz="0" w:space="0" w:color="auto"/>
                <w:bottom w:val="none" w:sz="0" w:space="0" w:color="auto"/>
                <w:right w:val="none" w:sz="0" w:space="0" w:color="auto"/>
              </w:divBdr>
            </w:div>
            <w:div w:id="273757265">
              <w:marLeft w:val="0"/>
              <w:marRight w:val="0"/>
              <w:marTop w:val="0"/>
              <w:marBottom w:val="0"/>
              <w:divBdr>
                <w:top w:val="none" w:sz="0" w:space="0" w:color="auto"/>
                <w:left w:val="none" w:sz="0" w:space="0" w:color="auto"/>
                <w:bottom w:val="none" w:sz="0" w:space="0" w:color="auto"/>
                <w:right w:val="none" w:sz="0" w:space="0" w:color="auto"/>
              </w:divBdr>
            </w:div>
            <w:div w:id="778837103">
              <w:marLeft w:val="0"/>
              <w:marRight w:val="0"/>
              <w:marTop w:val="0"/>
              <w:marBottom w:val="0"/>
              <w:divBdr>
                <w:top w:val="none" w:sz="0" w:space="0" w:color="auto"/>
                <w:left w:val="none" w:sz="0" w:space="0" w:color="auto"/>
                <w:bottom w:val="none" w:sz="0" w:space="0" w:color="auto"/>
                <w:right w:val="none" w:sz="0" w:space="0" w:color="auto"/>
              </w:divBdr>
            </w:div>
            <w:div w:id="1608737156">
              <w:marLeft w:val="0"/>
              <w:marRight w:val="0"/>
              <w:marTop w:val="0"/>
              <w:marBottom w:val="0"/>
              <w:divBdr>
                <w:top w:val="none" w:sz="0" w:space="0" w:color="auto"/>
                <w:left w:val="none" w:sz="0" w:space="0" w:color="auto"/>
                <w:bottom w:val="none" w:sz="0" w:space="0" w:color="auto"/>
                <w:right w:val="none" w:sz="0" w:space="0" w:color="auto"/>
              </w:divBdr>
            </w:div>
            <w:div w:id="840046373">
              <w:marLeft w:val="0"/>
              <w:marRight w:val="0"/>
              <w:marTop w:val="0"/>
              <w:marBottom w:val="0"/>
              <w:divBdr>
                <w:top w:val="none" w:sz="0" w:space="0" w:color="auto"/>
                <w:left w:val="none" w:sz="0" w:space="0" w:color="auto"/>
                <w:bottom w:val="none" w:sz="0" w:space="0" w:color="auto"/>
                <w:right w:val="none" w:sz="0" w:space="0" w:color="auto"/>
              </w:divBdr>
            </w:div>
            <w:div w:id="1828090033">
              <w:marLeft w:val="0"/>
              <w:marRight w:val="0"/>
              <w:marTop w:val="0"/>
              <w:marBottom w:val="0"/>
              <w:divBdr>
                <w:top w:val="none" w:sz="0" w:space="0" w:color="auto"/>
                <w:left w:val="none" w:sz="0" w:space="0" w:color="auto"/>
                <w:bottom w:val="none" w:sz="0" w:space="0" w:color="auto"/>
                <w:right w:val="none" w:sz="0" w:space="0" w:color="auto"/>
              </w:divBdr>
            </w:div>
            <w:div w:id="1675299788">
              <w:marLeft w:val="0"/>
              <w:marRight w:val="0"/>
              <w:marTop w:val="0"/>
              <w:marBottom w:val="0"/>
              <w:divBdr>
                <w:top w:val="none" w:sz="0" w:space="0" w:color="auto"/>
                <w:left w:val="none" w:sz="0" w:space="0" w:color="auto"/>
                <w:bottom w:val="none" w:sz="0" w:space="0" w:color="auto"/>
                <w:right w:val="none" w:sz="0" w:space="0" w:color="auto"/>
              </w:divBdr>
            </w:div>
            <w:div w:id="268051746">
              <w:marLeft w:val="0"/>
              <w:marRight w:val="0"/>
              <w:marTop w:val="0"/>
              <w:marBottom w:val="0"/>
              <w:divBdr>
                <w:top w:val="none" w:sz="0" w:space="0" w:color="auto"/>
                <w:left w:val="none" w:sz="0" w:space="0" w:color="auto"/>
                <w:bottom w:val="none" w:sz="0" w:space="0" w:color="auto"/>
                <w:right w:val="none" w:sz="0" w:space="0" w:color="auto"/>
              </w:divBdr>
            </w:div>
            <w:div w:id="509413724">
              <w:marLeft w:val="0"/>
              <w:marRight w:val="0"/>
              <w:marTop w:val="0"/>
              <w:marBottom w:val="0"/>
              <w:divBdr>
                <w:top w:val="none" w:sz="0" w:space="0" w:color="auto"/>
                <w:left w:val="none" w:sz="0" w:space="0" w:color="auto"/>
                <w:bottom w:val="none" w:sz="0" w:space="0" w:color="auto"/>
                <w:right w:val="none" w:sz="0" w:space="0" w:color="auto"/>
              </w:divBdr>
            </w:div>
            <w:div w:id="228153199">
              <w:marLeft w:val="0"/>
              <w:marRight w:val="0"/>
              <w:marTop w:val="0"/>
              <w:marBottom w:val="0"/>
              <w:divBdr>
                <w:top w:val="none" w:sz="0" w:space="0" w:color="auto"/>
                <w:left w:val="none" w:sz="0" w:space="0" w:color="auto"/>
                <w:bottom w:val="none" w:sz="0" w:space="0" w:color="auto"/>
                <w:right w:val="none" w:sz="0" w:space="0" w:color="auto"/>
              </w:divBdr>
            </w:div>
            <w:div w:id="1778405000">
              <w:marLeft w:val="0"/>
              <w:marRight w:val="0"/>
              <w:marTop w:val="0"/>
              <w:marBottom w:val="0"/>
              <w:divBdr>
                <w:top w:val="none" w:sz="0" w:space="0" w:color="auto"/>
                <w:left w:val="none" w:sz="0" w:space="0" w:color="auto"/>
                <w:bottom w:val="none" w:sz="0" w:space="0" w:color="auto"/>
                <w:right w:val="none" w:sz="0" w:space="0" w:color="auto"/>
              </w:divBdr>
            </w:div>
            <w:div w:id="1750692050">
              <w:marLeft w:val="0"/>
              <w:marRight w:val="0"/>
              <w:marTop w:val="0"/>
              <w:marBottom w:val="0"/>
              <w:divBdr>
                <w:top w:val="none" w:sz="0" w:space="0" w:color="auto"/>
                <w:left w:val="none" w:sz="0" w:space="0" w:color="auto"/>
                <w:bottom w:val="none" w:sz="0" w:space="0" w:color="auto"/>
                <w:right w:val="none" w:sz="0" w:space="0" w:color="auto"/>
              </w:divBdr>
            </w:div>
            <w:div w:id="1300846687">
              <w:marLeft w:val="0"/>
              <w:marRight w:val="0"/>
              <w:marTop w:val="0"/>
              <w:marBottom w:val="0"/>
              <w:divBdr>
                <w:top w:val="none" w:sz="0" w:space="0" w:color="auto"/>
                <w:left w:val="none" w:sz="0" w:space="0" w:color="auto"/>
                <w:bottom w:val="none" w:sz="0" w:space="0" w:color="auto"/>
                <w:right w:val="none" w:sz="0" w:space="0" w:color="auto"/>
              </w:divBdr>
            </w:div>
            <w:div w:id="1602378777">
              <w:marLeft w:val="0"/>
              <w:marRight w:val="0"/>
              <w:marTop w:val="0"/>
              <w:marBottom w:val="0"/>
              <w:divBdr>
                <w:top w:val="none" w:sz="0" w:space="0" w:color="auto"/>
                <w:left w:val="none" w:sz="0" w:space="0" w:color="auto"/>
                <w:bottom w:val="none" w:sz="0" w:space="0" w:color="auto"/>
                <w:right w:val="none" w:sz="0" w:space="0" w:color="auto"/>
              </w:divBdr>
            </w:div>
            <w:div w:id="1317304000">
              <w:marLeft w:val="0"/>
              <w:marRight w:val="0"/>
              <w:marTop w:val="0"/>
              <w:marBottom w:val="0"/>
              <w:divBdr>
                <w:top w:val="none" w:sz="0" w:space="0" w:color="auto"/>
                <w:left w:val="none" w:sz="0" w:space="0" w:color="auto"/>
                <w:bottom w:val="none" w:sz="0" w:space="0" w:color="auto"/>
                <w:right w:val="none" w:sz="0" w:space="0" w:color="auto"/>
              </w:divBdr>
            </w:div>
            <w:div w:id="1519394059">
              <w:marLeft w:val="0"/>
              <w:marRight w:val="0"/>
              <w:marTop w:val="0"/>
              <w:marBottom w:val="0"/>
              <w:divBdr>
                <w:top w:val="none" w:sz="0" w:space="0" w:color="auto"/>
                <w:left w:val="none" w:sz="0" w:space="0" w:color="auto"/>
                <w:bottom w:val="none" w:sz="0" w:space="0" w:color="auto"/>
                <w:right w:val="none" w:sz="0" w:space="0" w:color="auto"/>
              </w:divBdr>
            </w:div>
            <w:div w:id="1180899677">
              <w:marLeft w:val="0"/>
              <w:marRight w:val="0"/>
              <w:marTop w:val="0"/>
              <w:marBottom w:val="0"/>
              <w:divBdr>
                <w:top w:val="none" w:sz="0" w:space="0" w:color="auto"/>
                <w:left w:val="none" w:sz="0" w:space="0" w:color="auto"/>
                <w:bottom w:val="none" w:sz="0" w:space="0" w:color="auto"/>
                <w:right w:val="none" w:sz="0" w:space="0" w:color="auto"/>
              </w:divBdr>
            </w:div>
            <w:div w:id="128941230">
              <w:marLeft w:val="0"/>
              <w:marRight w:val="0"/>
              <w:marTop w:val="0"/>
              <w:marBottom w:val="0"/>
              <w:divBdr>
                <w:top w:val="none" w:sz="0" w:space="0" w:color="auto"/>
                <w:left w:val="none" w:sz="0" w:space="0" w:color="auto"/>
                <w:bottom w:val="none" w:sz="0" w:space="0" w:color="auto"/>
                <w:right w:val="none" w:sz="0" w:space="0" w:color="auto"/>
              </w:divBdr>
            </w:div>
            <w:div w:id="983698578">
              <w:marLeft w:val="0"/>
              <w:marRight w:val="0"/>
              <w:marTop w:val="0"/>
              <w:marBottom w:val="0"/>
              <w:divBdr>
                <w:top w:val="none" w:sz="0" w:space="0" w:color="auto"/>
                <w:left w:val="none" w:sz="0" w:space="0" w:color="auto"/>
                <w:bottom w:val="none" w:sz="0" w:space="0" w:color="auto"/>
                <w:right w:val="none" w:sz="0" w:space="0" w:color="auto"/>
              </w:divBdr>
            </w:div>
            <w:div w:id="936715289">
              <w:marLeft w:val="0"/>
              <w:marRight w:val="0"/>
              <w:marTop w:val="0"/>
              <w:marBottom w:val="0"/>
              <w:divBdr>
                <w:top w:val="none" w:sz="0" w:space="0" w:color="auto"/>
                <w:left w:val="none" w:sz="0" w:space="0" w:color="auto"/>
                <w:bottom w:val="none" w:sz="0" w:space="0" w:color="auto"/>
                <w:right w:val="none" w:sz="0" w:space="0" w:color="auto"/>
              </w:divBdr>
            </w:div>
            <w:div w:id="1492066704">
              <w:marLeft w:val="0"/>
              <w:marRight w:val="0"/>
              <w:marTop w:val="0"/>
              <w:marBottom w:val="0"/>
              <w:divBdr>
                <w:top w:val="none" w:sz="0" w:space="0" w:color="auto"/>
                <w:left w:val="none" w:sz="0" w:space="0" w:color="auto"/>
                <w:bottom w:val="none" w:sz="0" w:space="0" w:color="auto"/>
                <w:right w:val="none" w:sz="0" w:space="0" w:color="auto"/>
              </w:divBdr>
            </w:div>
            <w:div w:id="544148638">
              <w:marLeft w:val="0"/>
              <w:marRight w:val="0"/>
              <w:marTop w:val="0"/>
              <w:marBottom w:val="0"/>
              <w:divBdr>
                <w:top w:val="none" w:sz="0" w:space="0" w:color="auto"/>
                <w:left w:val="none" w:sz="0" w:space="0" w:color="auto"/>
                <w:bottom w:val="none" w:sz="0" w:space="0" w:color="auto"/>
                <w:right w:val="none" w:sz="0" w:space="0" w:color="auto"/>
              </w:divBdr>
            </w:div>
            <w:div w:id="162398678">
              <w:marLeft w:val="0"/>
              <w:marRight w:val="0"/>
              <w:marTop w:val="0"/>
              <w:marBottom w:val="0"/>
              <w:divBdr>
                <w:top w:val="none" w:sz="0" w:space="0" w:color="auto"/>
                <w:left w:val="none" w:sz="0" w:space="0" w:color="auto"/>
                <w:bottom w:val="none" w:sz="0" w:space="0" w:color="auto"/>
                <w:right w:val="none" w:sz="0" w:space="0" w:color="auto"/>
              </w:divBdr>
            </w:div>
            <w:div w:id="2040231570">
              <w:marLeft w:val="0"/>
              <w:marRight w:val="0"/>
              <w:marTop w:val="0"/>
              <w:marBottom w:val="0"/>
              <w:divBdr>
                <w:top w:val="none" w:sz="0" w:space="0" w:color="auto"/>
                <w:left w:val="none" w:sz="0" w:space="0" w:color="auto"/>
                <w:bottom w:val="none" w:sz="0" w:space="0" w:color="auto"/>
                <w:right w:val="none" w:sz="0" w:space="0" w:color="auto"/>
              </w:divBdr>
            </w:div>
            <w:div w:id="1687293953">
              <w:marLeft w:val="0"/>
              <w:marRight w:val="0"/>
              <w:marTop w:val="0"/>
              <w:marBottom w:val="0"/>
              <w:divBdr>
                <w:top w:val="none" w:sz="0" w:space="0" w:color="auto"/>
                <w:left w:val="none" w:sz="0" w:space="0" w:color="auto"/>
                <w:bottom w:val="none" w:sz="0" w:space="0" w:color="auto"/>
                <w:right w:val="none" w:sz="0" w:space="0" w:color="auto"/>
              </w:divBdr>
            </w:div>
            <w:div w:id="2048413612">
              <w:marLeft w:val="0"/>
              <w:marRight w:val="0"/>
              <w:marTop w:val="0"/>
              <w:marBottom w:val="0"/>
              <w:divBdr>
                <w:top w:val="none" w:sz="0" w:space="0" w:color="auto"/>
                <w:left w:val="none" w:sz="0" w:space="0" w:color="auto"/>
                <w:bottom w:val="none" w:sz="0" w:space="0" w:color="auto"/>
                <w:right w:val="none" w:sz="0" w:space="0" w:color="auto"/>
              </w:divBdr>
            </w:div>
            <w:div w:id="412052045">
              <w:marLeft w:val="0"/>
              <w:marRight w:val="0"/>
              <w:marTop w:val="0"/>
              <w:marBottom w:val="0"/>
              <w:divBdr>
                <w:top w:val="none" w:sz="0" w:space="0" w:color="auto"/>
                <w:left w:val="none" w:sz="0" w:space="0" w:color="auto"/>
                <w:bottom w:val="none" w:sz="0" w:space="0" w:color="auto"/>
                <w:right w:val="none" w:sz="0" w:space="0" w:color="auto"/>
              </w:divBdr>
            </w:div>
            <w:div w:id="802388112">
              <w:marLeft w:val="0"/>
              <w:marRight w:val="0"/>
              <w:marTop w:val="0"/>
              <w:marBottom w:val="0"/>
              <w:divBdr>
                <w:top w:val="none" w:sz="0" w:space="0" w:color="auto"/>
                <w:left w:val="none" w:sz="0" w:space="0" w:color="auto"/>
                <w:bottom w:val="none" w:sz="0" w:space="0" w:color="auto"/>
                <w:right w:val="none" w:sz="0" w:space="0" w:color="auto"/>
              </w:divBdr>
            </w:div>
            <w:div w:id="1179346276">
              <w:marLeft w:val="0"/>
              <w:marRight w:val="0"/>
              <w:marTop w:val="0"/>
              <w:marBottom w:val="0"/>
              <w:divBdr>
                <w:top w:val="none" w:sz="0" w:space="0" w:color="auto"/>
                <w:left w:val="none" w:sz="0" w:space="0" w:color="auto"/>
                <w:bottom w:val="none" w:sz="0" w:space="0" w:color="auto"/>
                <w:right w:val="none" w:sz="0" w:space="0" w:color="auto"/>
              </w:divBdr>
            </w:div>
            <w:div w:id="1141537340">
              <w:marLeft w:val="0"/>
              <w:marRight w:val="0"/>
              <w:marTop w:val="0"/>
              <w:marBottom w:val="0"/>
              <w:divBdr>
                <w:top w:val="none" w:sz="0" w:space="0" w:color="auto"/>
                <w:left w:val="none" w:sz="0" w:space="0" w:color="auto"/>
                <w:bottom w:val="none" w:sz="0" w:space="0" w:color="auto"/>
                <w:right w:val="none" w:sz="0" w:space="0" w:color="auto"/>
              </w:divBdr>
            </w:div>
            <w:div w:id="1862891849">
              <w:marLeft w:val="0"/>
              <w:marRight w:val="0"/>
              <w:marTop w:val="0"/>
              <w:marBottom w:val="0"/>
              <w:divBdr>
                <w:top w:val="none" w:sz="0" w:space="0" w:color="auto"/>
                <w:left w:val="none" w:sz="0" w:space="0" w:color="auto"/>
                <w:bottom w:val="none" w:sz="0" w:space="0" w:color="auto"/>
                <w:right w:val="none" w:sz="0" w:space="0" w:color="auto"/>
              </w:divBdr>
            </w:div>
            <w:div w:id="475146778">
              <w:marLeft w:val="0"/>
              <w:marRight w:val="0"/>
              <w:marTop w:val="0"/>
              <w:marBottom w:val="0"/>
              <w:divBdr>
                <w:top w:val="none" w:sz="0" w:space="0" w:color="auto"/>
                <w:left w:val="none" w:sz="0" w:space="0" w:color="auto"/>
                <w:bottom w:val="none" w:sz="0" w:space="0" w:color="auto"/>
                <w:right w:val="none" w:sz="0" w:space="0" w:color="auto"/>
              </w:divBdr>
            </w:div>
            <w:div w:id="1119375807">
              <w:marLeft w:val="0"/>
              <w:marRight w:val="0"/>
              <w:marTop w:val="0"/>
              <w:marBottom w:val="0"/>
              <w:divBdr>
                <w:top w:val="none" w:sz="0" w:space="0" w:color="auto"/>
                <w:left w:val="none" w:sz="0" w:space="0" w:color="auto"/>
                <w:bottom w:val="none" w:sz="0" w:space="0" w:color="auto"/>
                <w:right w:val="none" w:sz="0" w:space="0" w:color="auto"/>
              </w:divBdr>
            </w:div>
            <w:div w:id="966157988">
              <w:marLeft w:val="0"/>
              <w:marRight w:val="0"/>
              <w:marTop w:val="0"/>
              <w:marBottom w:val="0"/>
              <w:divBdr>
                <w:top w:val="none" w:sz="0" w:space="0" w:color="auto"/>
                <w:left w:val="none" w:sz="0" w:space="0" w:color="auto"/>
                <w:bottom w:val="none" w:sz="0" w:space="0" w:color="auto"/>
                <w:right w:val="none" w:sz="0" w:space="0" w:color="auto"/>
              </w:divBdr>
            </w:div>
            <w:div w:id="117769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B9BD2-7A7F-453C-ABEE-550AC243B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2391</Words>
  <Characters>13630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cp:lastPrinted>2016-01-27T13:13:00Z</cp:lastPrinted>
  <dcterms:created xsi:type="dcterms:W3CDTF">2016-02-11T08:36:00Z</dcterms:created>
  <dcterms:modified xsi:type="dcterms:W3CDTF">2016-02-11T08:36:00Z</dcterms:modified>
</cp:coreProperties>
</file>